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50550" w14:textId="77777777" w:rsidR="00072D64" w:rsidRPr="006D24A5" w:rsidRDefault="002D5731" w:rsidP="00072D64">
      <w:pPr>
        <w:rPr>
          <w:b/>
          <w:bCs/>
          <w:sz w:val="24"/>
          <w:szCs w:val="24"/>
        </w:rPr>
      </w:pPr>
      <w:bookmarkStart w:id="0" w:name="_Hlk31814847"/>
      <w:r w:rsidRPr="006D24A5">
        <w:rPr>
          <w:b/>
          <w:bCs/>
          <w:sz w:val="24"/>
          <w:szCs w:val="24"/>
        </w:rPr>
        <w:t>Consigne :</w:t>
      </w:r>
      <w:r w:rsidR="00072D64" w:rsidRPr="006D24A5">
        <w:rPr>
          <w:b/>
          <w:bCs/>
          <w:sz w:val="24"/>
          <w:szCs w:val="24"/>
        </w:rPr>
        <w:t xml:space="preserve"> Appliquer la mise en page </w:t>
      </w:r>
      <w:r w:rsidRPr="006D24A5">
        <w:rPr>
          <w:b/>
          <w:bCs/>
          <w:sz w:val="24"/>
          <w:szCs w:val="24"/>
        </w:rPr>
        <w:t>suivante, afin de correspondre au PDF joint.</w:t>
      </w:r>
    </w:p>
    <w:p w14:paraId="1609983F" w14:textId="77777777" w:rsidR="002D5731" w:rsidRPr="006D24A5" w:rsidRDefault="002D5731" w:rsidP="00072D64">
      <w:pPr>
        <w:rPr>
          <w:color w:val="auto"/>
          <w:sz w:val="24"/>
          <w:szCs w:val="24"/>
        </w:rPr>
      </w:pPr>
    </w:p>
    <w:p w14:paraId="0922559F" w14:textId="77777777" w:rsidR="00072D64" w:rsidRPr="006D24A5" w:rsidRDefault="00072D64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>Appliquez le Style normal</w:t>
      </w:r>
      <w:r w:rsidR="006636A7" w:rsidRPr="006D24A5">
        <w:rPr>
          <w:sz w:val="24"/>
          <w:szCs w:val="24"/>
        </w:rPr>
        <w:t xml:space="preserve"> à tout le document.</w:t>
      </w:r>
    </w:p>
    <w:p w14:paraId="053B791A" w14:textId="77777777" w:rsidR="00072D64" w:rsidRDefault="00072D64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>Appliquez l'alinéa</w:t>
      </w:r>
      <w:r w:rsidR="006636A7" w:rsidRPr="006D24A5">
        <w:rPr>
          <w:sz w:val="24"/>
          <w:szCs w:val="24"/>
        </w:rPr>
        <w:t>.</w:t>
      </w:r>
    </w:p>
    <w:p w14:paraId="55A180BC" w14:textId="77777777" w:rsidR="004A27C9" w:rsidRPr="004A27C9" w:rsidRDefault="004A27C9" w:rsidP="00072D64">
      <w:pPr>
        <w:rPr>
          <w:sz w:val="24"/>
          <w:szCs w:val="24"/>
        </w:rPr>
      </w:pPr>
      <w:r>
        <w:rPr>
          <w:sz w:val="24"/>
          <w:szCs w:val="24"/>
        </w:rPr>
        <w:t>Remplacez « </w:t>
      </w:r>
      <w:proofErr w:type="spellStart"/>
      <w:r w:rsidRPr="004A27C9">
        <w:rPr>
          <w:b/>
          <w:bCs/>
          <w:sz w:val="24"/>
          <w:szCs w:val="24"/>
        </w:rPr>
        <w:t>commmme</w:t>
      </w:r>
      <w:proofErr w:type="spellEnd"/>
      <w:r>
        <w:rPr>
          <w:b/>
          <w:bCs/>
          <w:sz w:val="24"/>
          <w:szCs w:val="24"/>
        </w:rPr>
        <w:t xml:space="preserve"> » </w:t>
      </w:r>
      <w:r>
        <w:rPr>
          <w:sz w:val="24"/>
          <w:szCs w:val="24"/>
        </w:rPr>
        <w:t>par « </w:t>
      </w:r>
      <w:r w:rsidRPr="004A27C9">
        <w:rPr>
          <w:b/>
          <w:bCs/>
          <w:sz w:val="24"/>
          <w:szCs w:val="24"/>
        </w:rPr>
        <w:t>comme</w:t>
      </w:r>
      <w:r>
        <w:rPr>
          <w:b/>
          <w:bCs/>
          <w:sz w:val="24"/>
          <w:szCs w:val="24"/>
        </w:rPr>
        <w:t> »</w:t>
      </w:r>
    </w:p>
    <w:p w14:paraId="2FD47F2B" w14:textId="77777777" w:rsidR="00072D64" w:rsidRPr="006D24A5" w:rsidRDefault="00072D64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 xml:space="preserve">Appliquez les Styles Titre 1 et </w:t>
      </w:r>
      <w:r w:rsidR="006D24A5">
        <w:rPr>
          <w:sz w:val="24"/>
          <w:szCs w:val="24"/>
        </w:rPr>
        <w:t>T</w:t>
      </w:r>
      <w:r w:rsidRPr="006D24A5">
        <w:rPr>
          <w:sz w:val="24"/>
          <w:szCs w:val="24"/>
        </w:rPr>
        <w:t>itre 2</w:t>
      </w:r>
      <w:r w:rsidR="006636A7" w:rsidRPr="006D24A5">
        <w:rPr>
          <w:sz w:val="24"/>
          <w:szCs w:val="24"/>
        </w:rPr>
        <w:t xml:space="preserve"> pour les titres</w:t>
      </w:r>
    </w:p>
    <w:p w14:paraId="061F6A6B" w14:textId="77777777" w:rsidR="006636A7" w:rsidRPr="006D24A5" w:rsidRDefault="006636A7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 xml:space="preserve">Appliquez le Style citation intense aux </w:t>
      </w:r>
      <w:r w:rsidR="002D5731" w:rsidRPr="006D24A5">
        <w:rPr>
          <w:sz w:val="24"/>
          <w:szCs w:val="24"/>
        </w:rPr>
        <w:t>éléments</w:t>
      </w:r>
      <w:r w:rsidRPr="006D24A5">
        <w:rPr>
          <w:sz w:val="24"/>
          <w:szCs w:val="24"/>
        </w:rPr>
        <w:t xml:space="preserve"> </w:t>
      </w:r>
      <w:r w:rsidRPr="006D24A5">
        <w:rPr>
          <w:sz w:val="24"/>
          <w:szCs w:val="24"/>
          <w:highlight w:val="darkCyan"/>
        </w:rPr>
        <w:t>en bleu</w:t>
      </w:r>
    </w:p>
    <w:p w14:paraId="7E423D85" w14:textId="77777777" w:rsidR="00072D64" w:rsidRPr="006D24A5" w:rsidRDefault="00072D64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>Créez une table des matières automatique</w:t>
      </w:r>
    </w:p>
    <w:p w14:paraId="4E3F0F6D" w14:textId="77777777" w:rsidR="00072D64" w:rsidRPr="006D24A5" w:rsidRDefault="00072D64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>Numérotez les titres</w:t>
      </w:r>
      <w:r w:rsidR="006636A7" w:rsidRPr="006D24A5">
        <w:rPr>
          <w:sz w:val="24"/>
          <w:szCs w:val="24"/>
        </w:rPr>
        <w:t xml:space="preserve"> (numérotation automatique)</w:t>
      </w:r>
    </w:p>
    <w:p w14:paraId="643FA907" w14:textId="77777777" w:rsidR="00072D64" w:rsidRPr="006D24A5" w:rsidRDefault="00072D64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>Numérotez les pages "Pagination"</w:t>
      </w:r>
    </w:p>
    <w:p w14:paraId="794468FA" w14:textId="77777777" w:rsidR="00072D64" w:rsidRPr="006D24A5" w:rsidRDefault="00072D64" w:rsidP="00072D64">
      <w:pPr>
        <w:rPr>
          <w:sz w:val="24"/>
          <w:szCs w:val="24"/>
        </w:rPr>
      </w:pPr>
      <w:r w:rsidRPr="006D24A5">
        <w:rPr>
          <w:sz w:val="24"/>
          <w:szCs w:val="24"/>
        </w:rPr>
        <w:t>Ajoutez un en-tête</w:t>
      </w:r>
      <w:r w:rsidR="006636A7" w:rsidRPr="006D24A5">
        <w:rPr>
          <w:sz w:val="24"/>
          <w:szCs w:val="24"/>
        </w:rPr>
        <w:t xml:space="preserve"> avec votre nom et prénom</w:t>
      </w:r>
    </w:p>
    <w:p w14:paraId="507C2D30" w14:textId="77777777" w:rsidR="006636A7" w:rsidRPr="006D24A5" w:rsidRDefault="006636A7" w:rsidP="006636A7">
      <w:pPr>
        <w:rPr>
          <w:sz w:val="24"/>
          <w:szCs w:val="24"/>
        </w:rPr>
      </w:pPr>
      <w:r w:rsidRPr="006D24A5">
        <w:rPr>
          <w:sz w:val="24"/>
          <w:szCs w:val="24"/>
        </w:rPr>
        <w:t>Renommez le fichier avec votre nom et prénom avant envoi.</w:t>
      </w:r>
    </w:p>
    <w:p w14:paraId="46DE79B5" w14:textId="77777777" w:rsidR="006636A7" w:rsidRPr="006D24A5" w:rsidRDefault="006636A7" w:rsidP="006636A7">
      <w:pPr>
        <w:rPr>
          <w:sz w:val="24"/>
          <w:szCs w:val="24"/>
        </w:rPr>
      </w:pPr>
    </w:p>
    <w:p w14:paraId="5FEFE47A" w14:textId="77777777" w:rsidR="006636A7" w:rsidRPr="006D24A5" w:rsidRDefault="006636A7" w:rsidP="006636A7">
      <w:pPr>
        <w:rPr>
          <w:sz w:val="24"/>
          <w:szCs w:val="24"/>
        </w:rPr>
      </w:pPr>
    </w:p>
    <w:p w14:paraId="111D005A" w14:textId="77777777" w:rsidR="006636A7" w:rsidRPr="006D24A5" w:rsidRDefault="006636A7" w:rsidP="006636A7">
      <w:pPr>
        <w:rPr>
          <w:sz w:val="24"/>
          <w:szCs w:val="24"/>
        </w:rPr>
      </w:pPr>
      <w:r w:rsidRPr="006D24A5">
        <w:rPr>
          <w:sz w:val="24"/>
          <w:szCs w:val="24"/>
        </w:rPr>
        <w:t xml:space="preserve">Placez le curseur de la souris </w:t>
      </w:r>
      <w:r w:rsidR="002D5731" w:rsidRPr="006D24A5">
        <w:rPr>
          <w:sz w:val="24"/>
          <w:szCs w:val="24"/>
        </w:rPr>
        <w:t>à</w:t>
      </w:r>
      <w:r w:rsidRPr="006D24A5">
        <w:rPr>
          <w:sz w:val="24"/>
          <w:szCs w:val="24"/>
        </w:rPr>
        <w:t xml:space="preserve"> la fin de chaque </w:t>
      </w:r>
      <w:r w:rsidR="006D24A5" w:rsidRPr="006D24A5">
        <w:rPr>
          <w:sz w:val="24"/>
          <w:szCs w:val="24"/>
        </w:rPr>
        <w:t>élément</w:t>
      </w:r>
      <w:r w:rsidRPr="006D24A5">
        <w:rPr>
          <w:sz w:val="24"/>
          <w:szCs w:val="24"/>
        </w:rPr>
        <w:t xml:space="preserve"> </w:t>
      </w:r>
      <w:r w:rsidRPr="006D24A5">
        <w:rPr>
          <w:sz w:val="24"/>
          <w:szCs w:val="24"/>
          <w:highlight w:val="green"/>
        </w:rPr>
        <w:t>en vert</w:t>
      </w:r>
      <w:r w:rsidRPr="006D24A5">
        <w:rPr>
          <w:sz w:val="24"/>
          <w:szCs w:val="24"/>
        </w:rPr>
        <w:t xml:space="preserve">. </w:t>
      </w:r>
    </w:p>
    <w:p w14:paraId="20A342FB" w14:textId="77777777" w:rsidR="006636A7" w:rsidRPr="006D24A5" w:rsidRDefault="006636A7" w:rsidP="006636A7">
      <w:pPr>
        <w:rPr>
          <w:sz w:val="24"/>
          <w:szCs w:val="24"/>
        </w:rPr>
      </w:pPr>
      <w:r w:rsidRPr="006D24A5">
        <w:rPr>
          <w:sz w:val="24"/>
          <w:szCs w:val="24"/>
        </w:rPr>
        <w:t xml:space="preserve">Ajoutez la </w:t>
      </w:r>
      <w:r w:rsidR="002D5731" w:rsidRPr="006D24A5">
        <w:rPr>
          <w:sz w:val="24"/>
          <w:szCs w:val="24"/>
          <w:highlight w:val="yellow"/>
        </w:rPr>
        <w:t>note de bas page</w:t>
      </w:r>
      <w:r w:rsidR="002D5731" w:rsidRPr="006D24A5">
        <w:rPr>
          <w:sz w:val="24"/>
          <w:szCs w:val="24"/>
        </w:rPr>
        <w:t xml:space="preserve"> </w:t>
      </w:r>
      <w:r w:rsidRPr="006D24A5">
        <w:rPr>
          <w:sz w:val="24"/>
          <w:szCs w:val="24"/>
        </w:rPr>
        <w:t>correspondante. </w:t>
      </w:r>
      <w:r w:rsidR="002D5731" w:rsidRPr="006D24A5">
        <w:rPr>
          <w:sz w:val="24"/>
          <w:szCs w:val="24"/>
        </w:rPr>
        <w:t>(Plus bas dans ce document)</w:t>
      </w:r>
    </w:p>
    <w:p w14:paraId="324D5932" w14:textId="77777777" w:rsidR="002D5731" w:rsidRPr="006D24A5" w:rsidRDefault="002D5731" w:rsidP="006636A7">
      <w:pPr>
        <w:rPr>
          <w:sz w:val="24"/>
          <w:szCs w:val="24"/>
        </w:rPr>
      </w:pPr>
      <w:r w:rsidRPr="006D24A5">
        <w:rPr>
          <w:sz w:val="24"/>
          <w:szCs w:val="24"/>
        </w:rPr>
        <w:t>Minimum 10 sur les 16</w:t>
      </w:r>
    </w:p>
    <w:p w14:paraId="5C63ADFA" w14:textId="77777777" w:rsidR="002D5731" w:rsidRPr="006D24A5" w:rsidRDefault="002D5731" w:rsidP="006636A7">
      <w:pPr>
        <w:rPr>
          <w:sz w:val="24"/>
          <w:szCs w:val="24"/>
        </w:rPr>
      </w:pPr>
    </w:p>
    <w:p w14:paraId="77162F5A" w14:textId="5E003C85" w:rsidR="002D5731" w:rsidRPr="006D24A5" w:rsidRDefault="002D5731" w:rsidP="006636A7">
      <w:pPr>
        <w:rPr>
          <w:sz w:val="24"/>
          <w:szCs w:val="24"/>
        </w:rPr>
      </w:pPr>
      <w:r w:rsidRPr="006D24A5">
        <w:rPr>
          <w:sz w:val="24"/>
          <w:szCs w:val="24"/>
        </w:rPr>
        <w:t>Modifiez le styles normal (</w:t>
      </w:r>
      <w:r w:rsidR="008E2FC5">
        <w:rPr>
          <w:sz w:val="24"/>
          <w:szCs w:val="24"/>
        </w:rPr>
        <w:t>souligné</w:t>
      </w:r>
      <w:r w:rsidRPr="006D24A5">
        <w:rPr>
          <w:sz w:val="24"/>
          <w:szCs w:val="24"/>
        </w:rPr>
        <w:t>, taille 12, times new roman)</w:t>
      </w:r>
    </w:p>
    <w:p w14:paraId="2923803D" w14:textId="33F82AE1" w:rsidR="002D5731" w:rsidRPr="006D24A5" w:rsidRDefault="002D5731" w:rsidP="002D5731">
      <w:pPr>
        <w:rPr>
          <w:sz w:val="24"/>
          <w:szCs w:val="24"/>
        </w:rPr>
      </w:pPr>
      <w:r w:rsidRPr="006D24A5">
        <w:rPr>
          <w:sz w:val="24"/>
          <w:szCs w:val="24"/>
        </w:rPr>
        <w:t>Modifiez le styles Titre 1 (gras,</w:t>
      </w:r>
      <w:r w:rsidR="008E2FC5">
        <w:rPr>
          <w:sz w:val="24"/>
          <w:szCs w:val="24"/>
        </w:rPr>
        <w:t xml:space="preserve"> souligné,</w:t>
      </w:r>
      <w:r w:rsidRPr="006D24A5">
        <w:rPr>
          <w:sz w:val="24"/>
          <w:szCs w:val="24"/>
        </w:rPr>
        <w:t xml:space="preserve"> taille 14, times new roman, rouge)</w:t>
      </w:r>
    </w:p>
    <w:p w14:paraId="51FB7768" w14:textId="77777777" w:rsidR="002D5731" w:rsidRPr="006D24A5" w:rsidRDefault="002D5731" w:rsidP="002D5731">
      <w:pPr>
        <w:rPr>
          <w:sz w:val="24"/>
          <w:szCs w:val="24"/>
        </w:rPr>
      </w:pPr>
      <w:r w:rsidRPr="006D24A5">
        <w:rPr>
          <w:sz w:val="24"/>
          <w:szCs w:val="24"/>
        </w:rPr>
        <w:t>Modifiez le styles Titre 2 (gras, taille 12, times new roman, bleu)</w:t>
      </w:r>
    </w:p>
    <w:p w14:paraId="3720A30E" w14:textId="77777777" w:rsidR="002D5731" w:rsidRDefault="002D5731" w:rsidP="006636A7">
      <w:pPr>
        <w:rPr>
          <w:sz w:val="24"/>
          <w:szCs w:val="24"/>
        </w:rPr>
      </w:pPr>
    </w:p>
    <w:p w14:paraId="7A1C147E" w14:textId="77777777" w:rsidR="006D24A5" w:rsidRPr="006D24A5" w:rsidRDefault="006D24A5" w:rsidP="006636A7">
      <w:pPr>
        <w:rPr>
          <w:sz w:val="24"/>
          <w:szCs w:val="24"/>
        </w:rPr>
      </w:pPr>
      <w:r>
        <w:rPr>
          <w:sz w:val="24"/>
          <w:szCs w:val="24"/>
        </w:rPr>
        <w:t>Déposez le document sur la plateforme</w:t>
      </w:r>
    </w:p>
    <w:p w14:paraId="224B1FC2" w14:textId="77777777" w:rsidR="00072D64" w:rsidRPr="006D24A5" w:rsidRDefault="00072D64" w:rsidP="006636A7">
      <w:pPr>
        <w:rPr>
          <w:sz w:val="24"/>
          <w:szCs w:val="24"/>
        </w:rPr>
      </w:pPr>
      <w:r w:rsidRPr="006D24A5">
        <w:rPr>
          <w:sz w:val="24"/>
          <w:szCs w:val="24"/>
        </w:rPr>
        <w:br w:type="page"/>
      </w:r>
      <w:bookmarkStart w:id="1" w:name="_GoBack"/>
      <w:bookmarkEnd w:id="1"/>
    </w:p>
    <w:p w14:paraId="370E243A" w14:textId="77777777" w:rsidR="002D5731" w:rsidRPr="006636A7" w:rsidRDefault="002D5731" w:rsidP="006636A7"/>
    <w:sdt>
      <w:sdtPr>
        <w:rPr>
          <w:rFonts w:ascii="Times New Roman" w:eastAsia="Times New Roman" w:hAnsi="Times New Roman" w:cs="Times New Roman"/>
          <w:color w:val="000000"/>
          <w:sz w:val="20"/>
          <w:szCs w:val="22"/>
        </w:rPr>
        <w:id w:val="770130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909B3D" w14:textId="77777777" w:rsidR="002D5731" w:rsidRDefault="002D5731">
          <w:pPr>
            <w:pStyle w:val="En-ttedetabledesmatires"/>
          </w:pPr>
          <w:r>
            <w:t>Table des matières</w:t>
          </w:r>
        </w:p>
        <w:p w14:paraId="2AA048A8" w14:textId="77777777" w:rsidR="002D5731" w:rsidRDefault="002D5731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817088" w:history="1">
            <w:r w:rsidRPr="007659E2">
              <w:rPr>
                <w:rStyle w:val="Lienhypertexte"/>
                <w:rFonts w:eastAsiaTheme="majorEastAsia"/>
                <w:noProof/>
              </w:rPr>
              <w:t>1</w:t>
            </w:r>
            <w:r>
              <w:rPr>
                <w:noProof/>
              </w:rPr>
              <w:tab/>
            </w:r>
            <w:r w:rsidRPr="007659E2">
              <w:rPr>
                <w:rStyle w:val="Lienhypertexte"/>
                <w:rFonts w:eastAsiaTheme="majorEastAsia"/>
                <w:noProof/>
              </w:rPr>
              <w:t>L’émotion, figure de la singularité du sujet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0122C" w14:textId="77777777" w:rsidR="002D5731" w:rsidRDefault="008E2FC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1817089" w:history="1">
            <w:r w:rsidR="002D5731" w:rsidRPr="007659E2">
              <w:rPr>
                <w:rStyle w:val="Lienhypertexte"/>
                <w:rFonts w:eastAsiaTheme="majorEastAsia"/>
                <w:noProof/>
              </w:rPr>
              <w:t>2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L’émotion, suspension de la dimension sociale de la spécularité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_Toc31817089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1D960438" w14:textId="77777777" w:rsidR="002D5731" w:rsidRDefault="008E2FC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1817090" w:history="1">
            <w:r w:rsidR="002D5731" w:rsidRPr="007659E2">
              <w:rPr>
                <w:rStyle w:val="Lienhypertexte"/>
                <w:rFonts w:eastAsiaTheme="majorEastAsia"/>
                <w:noProof/>
              </w:rPr>
              <w:t>3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L’émotion dans l’expérience esthétique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_Toc31817090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1F2C90D8" w14:textId="77777777" w:rsidR="002D5731" w:rsidRDefault="008E2FC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1817091" w:history="1">
            <w:r w:rsidR="002D5731" w:rsidRPr="007659E2">
              <w:rPr>
                <w:rStyle w:val="Lienhypertexte"/>
                <w:rFonts w:eastAsiaTheme="majorEastAsia"/>
                <w:noProof/>
              </w:rPr>
              <w:t>3.1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L’image : l’esthétisation de l’évènement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_Toc31817091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0BBD604D" w14:textId="77777777" w:rsidR="002D5731" w:rsidRDefault="008E2FC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1817092" w:history="1">
            <w:r w:rsidR="002D5731" w:rsidRPr="007659E2">
              <w:rPr>
                <w:rStyle w:val="Lienhypertexte"/>
                <w:rFonts w:eastAsiaTheme="majorEastAsia"/>
                <w:noProof/>
              </w:rPr>
              <w:t>3.2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Les titres : l’esthétisation de l’écrit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_Toc31817092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7B24156E" w14:textId="77777777" w:rsidR="002D5731" w:rsidRDefault="008E2FC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1817093" w:history="1">
            <w:r w:rsidR="002D5731" w:rsidRPr="007659E2">
              <w:rPr>
                <w:rStyle w:val="Lienhypertexte"/>
                <w:rFonts w:eastAsiaTheme="majorEastAsia"/>
                <w:noProof/>
              </w:rPr>
              <w:t>3.3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Le portrait : l’esthétisation des acteurs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_Toc31817093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3257044A" w14:textId="77777777" w:rsidR="002D5731" w:rsidRDefault="008E2FC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1817094" w:history="1">
            <w:r w:rsidR="002D5731" w:rsidRPr="007659E2">
              <w:rPr>
                <w:rStyle w:val="Lienhypertexte"/>
                <w:rFonts w:eastAsiaTheme="majorEastAsia"/>
                <w:noProof/>
              </w:rPr>
              <w:t>3.4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La rhétorique de l’émotion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_Toc31817094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4F4C50F1" w14:textId="77777777" w:rsidR="002D5731" w:rsidRDefault="008E2FC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1817095" w:history="1">
            <w:r w:rsidR="002D5731" w:rsidRPr="007659E2">
              <w:rPr>
                <w:rStyle w:val="Lienhypertexte"/>
                <w:rFonts w:eastAsiaTheme="majorEastAsia"/>
                <w:noProof/>
              </w:rPr>
              <w:t>4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L’émotion suspend les médiations dans le discours politique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_Toc31817095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3DCA0105" w14:textId="77777777" w:rsidR="002D5731" w:rsidRDefault="008E2FC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1817096" w:history="1">
            <w:r w:rsidR="002D5731" w:rsidRPr="007659E2">
              <w:rPr>
                <w:rStyle w:val="Lienhypertexte"/>
                <w:rFonts w:eastAsiaTheme="majorEastAsia"/>
                <w:noProof/>
              </w:rPr>
              <w:t>5</w:t>
            </w:r>
            <w:r w:rsidR="002D5731">
              <w:rPr>
                <w:noProof/>
              </w:rPr>
              <w:tab/>
            </w:r>
            <w:r w:rsidR="002D5731" w:rsidRPr="007659E2">
              <w:rPr>
                <w:rStyle w:val="Lienhypertexte"/>
                <w:rFonts w:eastAsiaTheme="majorEastAsia"/>
                <w:noProof/>
              </w:rPr>
              <w:t>L’émotion et la dialectique de l’identité</w:t>
            </w:r>
            <w:r w:rsidR="002D5731">
              <w:rPr>
                <w:noProof/>
                <w:webHidden/>
              </w:rPr>
              <w:tab/>
            </w:r>
            <w:r w:rsidR="002D5731">
              <w:rPr>
                <w:noProof/>
                <w:webHidden/>
              </w:rPr>
              <w:fldChar w:fldCharType="begin"/>
            </w:r>
            <w:r w:rsidR="002D5731">
              <w:rPr>
                <w:noProof/>
                <w:webHidden/>
              </w:rPr>
              <w:instrText xml:space="preserve"> PAGEREF _Toc31817096 \h </w:instrText>
            </w:r>
            <w:r w:rsidR="002D5731">
              <w:rPr>
                <w:noProof/>
                <w:webHidden/>
              </w:rPr>
            </w:r>
            <w:r w:rsidR="002D5731">
              <w:rPr>
                <w:noProof/>
                <w:webHidden/>
              </w:rPr>
              <w:fldChar w:fldCharType="separate"/>
            </w:r>
            <w:r w:rsidR="002D5731">
              <w:rPr>
                <w:noProof/>
                <w:webHidden/>
              </w:rPr>
              <w:t>2</w:t>
            </w:r>
            <w:r w:rsidR="002D5731">
              <w:rPr>
                <w:noProof/>
                <w:webHidden/>
              </w:rPr>
              <w:fldChar w:fldCharType="end"/>
            </w:r>
          </w:hyperlink>
        </w:p>
        <w:p w14:paraId="099603FF" w14:textId="77777777" w:rsidR="002D5731" w:rsidRDefault="002D5731">
          <w:r>
            <w:rPr>
              <w:b/>
              <w:bCs/>
            </w:rPr>
            <w:fldChar w:fldCharType="end"/>
          </w:r>
        </w:p>
      </w:sdtContent>
    </w:sdt>
    <w:p w14:paraId="5B2405AF" w14:textId="77777777" w:rsidR="00AE5438" w:rsidRPr="00AE5438" w:rsidRDefault="00AE5438" w:rsidP="00AE5438"/>
    <w:p w14:paraId="0FFADF52" w14:textId="77777777" w:rsidR="00AE5438" w:rsidRDefault="00AE5438">
      <w:pPr>
        <w:spacing w:after="160" w:line="259" w:lineRule="auto"/>
        <w:ind w:firstLine="0"/>
        <w:jc w:val="left"/>
        <w:rPr>
          <w:sz w:val="17"/>
          <w:highlight w:val="yellow"/>
        </w:rPr>
      </w:pPr>
      <w:r>
        <w:rPr>
          <w:highlight w:val="yellow"/>
        </w:rPr>
        <w:br w:type="page"/>
      </w:r>
    </w:p>
    <w:p w14:paraId="265610FA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spacing w:line="232" w:lineRule="auto"/>
        <w:jc w:val="both"/>
        <w:rPr>
          <w:highlight w:val="yellow"/>
        </w:rPr>
      </w:pPr>
      <w:r w:rsidRPr="00C410B2">
        <w:rPr>
          <w:highlight w:val="yellow"/>
        </w:rPr>
        <w:lastRenderedPageBreak/>
        <w:t>Institut d’études politiques – Université Lumière, Lyon 2 – bernard.lamizet@univ-lyon2.fr.</w:t>
      </w:r>
    </w:p>
    <w:p w14:paraId="4ED60589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spacing w:line="232" w:lineRule="auto"/>
        <w:jc w:val="both"/>
        <w:rPr>
          <w:highlight w:val="yellow"/>
        </w:rPr>
      </w:pPr>
      <w:r w:rsidRPr="00C410B2">
        <w:rPr>
          <w:highlight w:val="yellow"/>
        </w:rPr>
        <w:t>On désigne ainsi la destruction, le 11 septembre 2001, des tours du World Trade Center, à New York, percutées par des avions-suicides, ainsi que l’ensemble des évènements liés à cet attentat.</w:t>
      </w:r>
    </w:p>
    <w:p w14:paraId="039F33E3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rPr>
          <w:highlight w:val="yellow"/>
        </w:rPr>
      </w:pPr>
      <w:r w:rsidRPr="00C410B2">
        <w:rPr>
          <w:i/>
          <w:highlight w:val="yellow"/>
        </w:rPr>
        <w:t>Le Monde</w:t>
      </w:r>
      <w:r w:rsidRPr="00C410B2">
        <w:rPr>
          <w:highlight w:val="yellow"/>
        </w:rPr>
        <w:t>, 14-15 oct. 2001.</w:t>
      </w:r>
    </w:p>
    <w:p w14:paraId="0D963A26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rPr>
          <w:highlight w:val="yellow"/>
        </w:rPr>
      </w:pPr>
      <w:r w:rsidRPr="00C410B2">
        <w:rPr>
          <w:i/>
          <w:highlight w:val="yellow"/>
        </w:rPr>
        <w:t>Le Monde</w:t>
      </w:r>
      <w:r w:rsidRPr="00C410B2">
        <w:rPr>
          <w:highlight w:val="yellow"/>
        </w:rPr>
        <w:t>, 24-oct. 2001.</w:t>
      </w:r>
    </w:p>
    <w:p w14:paraId="57417D80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rPr>
          <w:highlight w:val="yellow"/>
        </w:rPr>
      </w:pPr>
      <w:r w:rsidRPr="00C410B2">
        <w:rPr>
          <w:i/>
          <w:highlight w:val="yellow"/>
        </w:rPr>
        <w:t>Le Monde</w:t>
      </w:r>
      <w:r w:rsidRPr="00C410B2">
        <w:rPr>
          <w:highlight w:val="yellow"/>
        </w:rPr>
        <w:t>, 11-oct. 2000.</w:t>
      </w:r>
    </w:p>
    <w:p w14:paraId="06786C19" w14:textId="77777777" w:rsidR="00AE5438" w:rsidRDefault="00AE5438" w:rsidP="00AE5438">
      <w:pPr>
        <w:pStyle w:val="footnotedescription"/>
        <w:numPr>
          <w:ilvl w:val="0"/>
          <w:numId w:val="2"/>
        </w:numPr>
        <w:spacing w:line="232" w:lineRule="auto"/>
        <w:jc w:val="both"/>
      </w:pPr>
      <w:r w:rsidRPr="00C410B2">
        <w:rPr>
          <w:highlight w:val="yellow"/>
        </w:rPr>
        <w:t>Peut-être même peut-on trouver, dans ce lien entre la simplicité de la description des lieux et la puissance d’émotion du discours, une interprétation de la règle de l’unité de lieu dans la tragédie classique.</w:t>
      </w:r>
      <w:bookmarkEnd w:id="0"/>
    </w:p>
    <w:p w14:paraId="54D7B154" w14:textId="77777777" w:rsidR="00B80AEC" w:rsidRDefault="00B80AEC" w:rsidP="00AE5438"/>
    <w:p w14:paraId="71BAD0D5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spacing w:line="232" w:lineRule="auto"/>
        <w:ind w:right="53"/>
        <w:jc w:val="both"/>
        <w:rPr>
          <w:highlight w:val="yellow"/>
        </w:rPr>
      </w:pPr>
      <w:r w:rsidRPr="00C410B2">
        <w:rPr>
          <w:highlight w:val="yellow"/>
        </w:rPr>
        <w:t xml:space="preserve">On remarquera, dans cet énoncé, une rhétorique très significative reposant sur un transfert </w:t>
      </w:r>
      <w:proofErr w:type="gramStart"/>
      <w:r w:rsidRPr="00C410B2">
        <w:rPr>
          <w:highlight w:val="yellow"/>
        </w:rPr>
        <w:t>d’image:</w:t>
      </w:r>
      <w:proofErr w:type="gramEnd"/>
      <w:r w:rsidRPr="00C410B2">
        <w:rPr>
          <w:highlight w:val="yellow"/>
        </w:rPr>
        <w:t xml:space="preserve"> le couloir est présenté comme </w:t>
      </w:r>
      <w:r w:rsidRPr="00C410B2">
        <w:rPr>
          <w:i/>
          <w:highlight w:val="yellow"/>
        </w:rPr>
        <w:t>long</w:t>
      </w:r>
      <w:r w:rsidRPr="00C410B2">
        <w:rPr>
          <w:highlight w:val="yellow"/>
        </w:rPr>
        <w:t>, ce qui apporte peu au texte mais fait porter sur la description des lieux une figuration de l’intensité d’émotion représentée dans le personnage.</w:t>
      </w:r>
    </w:p>
    <w:p w14:paraId="26EA7C1C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spacing w:after="16" w:line="234" w:lineRule="auto"/>
        <w:jc w:val="both"/>
        <w:rPr>
          <w:highlight w:val="yellow"/>
        </w:rPr>
      </w:pPr>
      <w:r w:rsidRPr="00C410B2">
        <w:rPr>
          <w:i/>
          <w:highlight w:val="yellow"/>
        </w:rPr>
        <w:t xml:space="preserve">Esthétique </w:t>
      </w:r>
      <w:r w:rsidRPr="00C410B2">
        <w:rPr>
          <w:highlight w:val="yellow"/>
        </w:rPr>
        <w:t xml:space="preserve">est issu du grec </w:t>
      </w:r>
      <w:proofErr w:type="spellStart"/>
      <w:r w:rsidRPr="00C410B2">
        <w:rPr>
          <w:i/>
          <w:highlight w:val="yellow"/>
        </w:rPr>
        <w:t>aisthanesthai</w:t>
      </w:r>
      <w:proofErr w:type="spellEnd"/>
      <w:r w:rsidRPr="00C410B2">
        <w:rPr>
          <w:highlight w:val="yellow"/>
        </w:rPr>
        <w:t>,</w:t>
      </w:r>
      <w:proofErr w:type="gramStart"/>
      <w:r w:rsidRPr="00C410B2">
        <w:rPr>
          <w:highlight w:val="yellow"/>
        </w:rPr>
        <w:t xml:space="preserve"> «percevoir</w:t>
      </w:r>
      <w:proofErr w:type="gramEnd"/>
      <w:r w:rsidRPr="00C410B2">
        <w:rPr>
          <w:highlight w:val="yellow"/>
        </w:rPr>
        <w:t xml:space="preserve">». Ce verbe est ce qu’on appelle, en morphologie grecque, un </w:t>
      </w:r>
      <w:r w:rsidRPr="00C410B2">
        <w:rPr>
          <w:i/>
          <w:highlight w:val="yellow"/>
        </w:rPr>
        <w:t>moyen</w:t>
      </w:r>
      <w:r w:rsidRPr="00C410B2">
        <w:rPr>
          <w:highlight w:val="yellow"/>
        </w:rPr>
        <w:t>, c’est-à-dire une forme verbale, sensiblement équivalente à notre verbe réfléchi, qui accentue encore la dimension singulière de ce qu’il exprime.</w:t>
      </w:r>
    </w:p>
    <w:p w14:paraId="0CA7F40C" w14:textId="77777777" w:rsidR="00AE5438" w:rsidRDefault="00AE5438" w:rsidP="00AE5438">
      <w:pPr>
        <w:pStyle w:val="footnotedescription"/>
        <w:numPr>
          <w:ilvl w:val="0"/>
          <w:numId w:val="2"/>
        </w:numPr>
      </w:pPr>
      <w:r w:rsidRPr="00C410B2">
        <w:rPr>
          <w:i/>
          <w:highlight w:val="yellow"/>
        </w:rPr>
        <w:t>Libération</w:t>
      </w:r>
      <w:r w:rsidRPr="00C410B2">
        <w:rPr>
          <w:highlight w:val="yellow"/>
        </w:rPr>
        <w:t>, 13 octobre 2000.</w:t>
      </w:r>
    </w:p>
    <w:p w14:paraId="224A3AD7" w14:textId="77777777" w:rsidR="00AE5438" w:rsidRDefault="00AE5438" w:rsidP="00AE5438"/>
    <w:p w14:paraId="14C012B7" w14:textId="77777777" w:rsidR="00AE5438" w:rsidRDefault="00AE5438" w:rsidP="00AE5438">
      <w:pPr>
        <w:pStyle w:val="footnotedescription"/>
        <w:numPr>
          <w:ilvl w:val="0"/>
          <w:numId w:val="2"/>
        </w:numPr>
      </w:pPr>
      <w:r w:rsidRPr="00C410B2">
        <w:rPr>
          <w:i/>
          <w:highlight w:val="yellow"/>
        </w:rPr>
        <w:t xml:space="preserve">Le Monde </w:t>
      </w:r>
      <w:r w:rsidRPr="00C410B2">
        <w:rPr>
          <w:highlight w:val="yellow"/>
        </w:rPr>
        <w:t>du 11 octobre 2000, p. 16.</w:t>
      </w:r>
    </w:p>
    <w:p w14:paraId="279AAA55" w14:textId="77777777" w:rsidR="00AE5438" w:rsidRDefault="00AE5438" w:rsidP="00AE5438"/>
    <w:p w14:paraId="73854D07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spacing w:line="232" w:lineRule="auto"/>
        <w:jc w:val="both"/>
        <w:rPr>
          <w:highlight w:val="yellow"/>
        </w:rPr>
      </w:pPr>
      <w:r w:rsidRPr="00C410B2">
        <w:rPr>
          <w:highlight w:val="yellow"/>
        </w:rPr>
        <w:t xml:space="preserve">Un bon exemple de cette substitution de la figure de la culpabilité à celle de la responsabilité est donné par la rhétorique de Philippe Pétain, qui se pose, par la figure du père, en initiateur d’une nouvelle morale destinée à redresser les torts causés à la France par les Français eux-mêmes (voir G. Miller, 1975, </w:t>
      </w:r>
      <w:r w:rsidRPr="00C410B2">
        <w:rPr>
          <w:i/>
          <w:highlight w:val="yellow"/>
        </w:rPr>
        <w:t xml:space="preserve">Les pousse-au-jouir du maréchal Pétain, </w:t>
      </w:r>
      <w:r w:rsidRPr="00C410B2">
        <w:rPr>
          <w:highlight w:val="yellow"/>
        </w:rPr>
        <w:t>Paris, Seuil, p. 32-</w:t>
      </w:r>
      <w:proofErr w:type="gramStart"/>
      <w:r w:rsidRPr="00C410B2">
        <w:rPr>
          <w:highlight w:val="yellow"/>
        </w:rPr>
        <w:t>51:</w:t>
      </w:r>
      <w:proofErr w:type="gramEnd"/>
      <w:r w:rsidRPr="00C410B2">
        <w:rPr>
          <w:highlight w:val="yellow"/>
        </w:rPr>
        <w:t xml:space="preserve"> «L’exode, dit Pétain, est un châtiment» p. 18).</w:t>
      </w:r>
    </w:p>
    <w:p w14:paraId="5BE8F0B0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spacing w:line="245" w:lineRule="auto"/>
        <w:jc w:val="both"/>
        <w:rPr>
          <w:highlight w:val="yellow"/>
        </w:rPr>
      </w:pPr>
      <w:r w:rsidRPr="00C410B2">
        <w:rPr>
          <w:i/>
          <w:highlight w:val="yellow"/>
        </w:rPr>
        <w:t>Le Monde</w:t>
      </w:r>
      <w:r w:rsidRPr="00C410B2">
        <w:rPr>
          <w:highlight w:val="yellow"/>
        </w:rPr>
        <w:t>, 1</w:t>
      </w:r>
      <w:r w:rsidRPr="00C410B2">
        <w:rPr>
          <w:highlight w:val="yellow"/>
          <w:vertAlign w:val="superscript"/>
        </w:rPr>
        <w:t>er</w:t>
      </w:r>
      <w:r w:rsidRPr="00C410B2">
        <w:rPr>
          <w:highlight w:val="yellow"/>
        </w:rPr>
        <w:t xml:space="preserve">-2 octobre 2000. Cet éditorial porte le titre suivant, particulièrement évocateur en matière </w:t>
      </w:r>
      <w:proofErr w:type="gramStart"/>
      <w:r w:rsidRPr="00C410B2">
        <w:rPr>
          <w:highlight w:val="yellow"/>
        </w:rPr>
        <w:t>d’émotion:</w:t>
      </w:r>
      <w:proofErr w:type="gramEnd"/>
      <w:r w:rsidRPr="00C410B2">
        <w:rPr>
          <w:highlight w:val="yellow"/>
        </w:rPr>
        <w:t xml:space="preserve"> «Ô Jérusalem».</w:t>
      </w:r>
    </w:p>
    <w:p w14:paraId="1266868D" w14:textId="77777777" w:rsidR="00AE5438" w:rsidRDefault="00AE5438" w:rsidP="00AE5438">
      <w:pPr>
        <w:pStyle w:val="footnotedescription"/>
        <w:numPr>
          <w:ilvl w:val="0"/>
          <w:numId w:val="2"/>
        </w:numPr>
        <w:spacing w:line="233" w:lineRule="auto"/>
        <w:jc w:val="both"/>
      </w:pPr>
      <w:r w:rsidRPr="00C410B2">
        <w:rPr>
          <w:highlight w:val="yellow"/>
        </w:rPr>
        <w:t>Discours prononcé le 3 novembre 2000 à Groningen (</w:t>
      </w:r>
      <w:proofErr w:type="spellStart"/>
      <w:r w:rsidRPr="00C410B2">
        <w:rPr>
          <w:highlight w:val="yellow"/>
        </w:rPr>
        <w:t>Stichting</w:t>
      </w:r>
      <w:proofErr w:type="spellEnd"/>
      <w:r w:rsidRPr="00C410B2">
        <w:rPr>
          <w:highlight w:val="yellow"/>
        </w:rPr>
        <w:t xml:space="preserve"> Van der </w:t>
      </w:r>
      <w:proofErr w:type="spellStart"/>
      <w:r w:rsidRPr="00C410B2">
        <w:rPr>
          <w:highlight w:val="yellow"/>
        </w:rPr>
        <w:t>Leeuw-Lezing</w:t>
      </w:r>
      <w:proofErr w:type="spellEnd"/>
      <w:r w:rsidRPr="00C410B2">
        <w:rPr>
          <w:highlight w:val="yellow"/>
        </w:rPr>
        <w:t xml:space="preserve">), et recueilli par </w:t>
      </w:r>
      <w:r w:rsidRPr="00C410B2">
        <w:rPr>
          <w:i/>
          <w:highlight w:val="yellow"/>
        </w:rPr>
        <w:t>Le Monde</w:t>
      </w:r>
      <w:r w:rsidRPr="00C410B2">
        <w:rPr>
          <w:highlight w:val="yellow"/>
        </w:rPr>
        <w:t>.</w:t>
      </w:r>
    </w:p>
    <w:p w14:paraId="0244974F" w14:textId="77777777" w:rsidR="00AE5438" w:rsidRDefault="00AE5438" w:rsidP="00AE5438"/>
    <w:p w14:paraId="1C6D5B23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rPr>
          <w:highlight w:val="yellow"/>
        </w:rPr>
      </w:pPr>
      <w:r w:rsidRPr="00C410B2">
        <w:rPr>
          <w:i/>
          <w:highlight w:val="yellow"/>
        </w:rPr>
        <w:t>Le Monde</w:t>
      </w:r>
      <w:r w:rsidRPr="00C410B2">
        <w:rPr>
          <w:highlight w:val="yellow"/>
        </w:rPr>
        <w:t>, 31 janvier 2001.</w:t>
      </w:r>
    </w:p>
    <w:p w14:paraId="2A4E125A" w14:textId="77777777" w:rsidR="00AE5438" w:rsidRPr="00C410B2" w:rsidRDefault="00AE5438" w:rsidP="00AE5438">
      <w:pPr>
        <w:pStyle w:val="footnotedescription"/>
        <w:numPr>
          <w:ilvl w:val="0"/>
          <w:numId w:val="2"/>
        </w:numPr>
        <w:rPr>
          <w:highlight w:val="yellow"/>
        </w:rPr>
      </w:pPr>
      <w:r w:rsidRPr="00C410B2">
        <w:rPr>
          <w:i/>
          <w:highlight w:val="yellow"/>
        </w:rPr>
        <w:t>Le Monde</w:t>
      </w:r>
      <w:r w:rsidRPr="00C410B2">
        <w:rPr>
          <w:highlight w:val="yellow"/>
        </w:rPr>
        <w:t>, 28 octobre 2000.</w:t>
      </w:r>
    </w:p>
    <w:p w14:paraId="1022DFDD" w14:textId="77777777" w:rsidR="00AE5438" w:rsidRDefault="00AE5438" w:rsidP="00AE5438">
      <w:pPr>
        <w:pStyle w:val="footnotedescription"/>
        <w:numPr>
          <w:ilvl w:val="0"/>
          <w:numId w:val="2"/>
        </w:numPr>
      </w:pPr>
      <w:r w:rsidRPr="00C410B2">
        <w:rPr>
          <w:highlight w:val="yellow"/>
        </w:rPr>
        <w:t xml:space="preserve">P. Sollers, 1971, </w:t>
      </w:r>
      <w:r w:rsidRPr="00C410B2">
        <w:rPr>
          <w:i/>
          <w:highlight w:val="yellow"/>
        </w:rPr>
        <w:t>L’écriture et l’expérience des limites</w:t>
      </w:r>
      <w:r w:rsidRPr="00C410B2">
        <w:rPr>
          <w:highlight w:val="yellow"/>
        </w:rPr>
        <w:t>, Paris, Seuil (Points).</w:t>
      </w:r>
    </w:p>
    <w:p w14:paraId="24F2DA9B" w14:textId="77777777" w:rsidR="00AE5438" w:rsidRPr="00AE5438" w:rsidRDefault="00AE5438" w:rsidP="00AE5438"/>
    <w:sectPr w:rsidR="00AE5438" w:rsidRPr="00AE5438" w:rsidSect="002D573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659F" w14:textId="77777777" w:rsidR="00856264" w:rsidRDefault="00856264" w:rsidP="002D5731">
      <w:pPr>
        <w:spacing w:after="0" w:line="240" w:lineRule="auto"/>
      </w:pPr>
      <w:r>
        <w:separator/>
      </w:r>
    </w:p>
  </w:endnote>
  <w:endnote w:type="continuationSeparator" w:id="0">
    <w:p w14:paraId="08A74F05" w14:textId="77777777" w:rsidR="00856264" w:rsidRDefault="00856264" w:rsidP="002D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FAF56" w14:textId="77777777" w:rsidR="00856264" w:rsidRDefault="00856264" w:rsidP="002D5731">
      <w:pPr>
        <w:spacing w:after="0" w:line="240" w:lineRule="auto"/>
      </w:pPr>
      <w:r>
        <w:separator/>
      </w:r>
    </w:p>
  </w:footnote>
  <w:footnote w:type="continuationSeparator" w:id="0">
    <w:p w14:paraId="6E86510E" w14:textId="77777777" w:rsidR="00856264" w:rsidRDefault="00856264" w:rsidP="002D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2079" w14:textId="77777777" w:rsidR="002D5731" w:rsidRDefault="002D5731">
    <w:pPr>
      <w:pStyle w:val="En-tte"/>
    </w:pPr>
    <w:r>
      <w:t>Table des matières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6F4E" w14:textId="77777777" w:rsidR="002D5731" w:rsidRDefault="002D5731">
    <w:pPr>
      <w:pStyle w:val="En-tte"/>
    </w:pPr>
    <w:r>
      <w:t>Note de bas de page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C76F" w14:textId="77777777" w:rsidR="002D5731" w:rsidRDefault="002D5731">
    <w:pPr>
      <w:pStyle w:val="En-tte"/>
    </w:pPr>
    <w:r>
      <w:t>Consignes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70B63"/>
    <w:multiLevelType w:val="hybridMultilevel"/>
    <w:tmpl w:val="965E3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7A0B"/>
    <w:multiLevelType w:val="hybridMultilevel"/>
    <w:tmpl w:val="91EEE2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16FB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AD1689B"/>
    <w:multiLevelType w:val="multilevel"/>
    <w:tmpl w:val="AFC6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38"/>
    <w:rsid w:val="00072D64"/>
    <w:rsid w:val="002D5731"/>
    <w:rsid w:val="004A27C9"/>
    <w:rsid w:val="006636A7"/>
    <w:rsid w:val="006D24A5"/>
    <w:rsid w:val="00856264"/>
    <w:rsid w:val="008E2FC5"/>
    <w:rsid w:val="00AE5438"/>
    <w:rsid w:val="00B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FA7C"/>
  <w15:chartTrackingRefBased/>
  <w15:docId w15:val="{DA41DF5D-8151-4102-BABB-9452C8FB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38"/>
    <w:pPr>
      <w:spacing w:after="3" w:line="251" w:lineRule="auto"/>
      <w:ind w:firstLine="217"/>
      <w:jc w:val="both"/>
    </w:pPr>
    <w:rPr>
      <w:rFonts w:ascii="Times New Roman" w:eastAsia="Times New Roman" w:hAnsi="Times New Roman" w:cs="Times New Roman"/>
      <w:color w:val="000000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543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543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E543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E543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43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43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43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43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43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AE5438"/>
    <w:pPr>
      <w:spacing w:after="0"/>
      <w:ind w:left="113"/>
    </w:pPr>
    <w:rPr>
      <w:rFonts w:ascii="Times New Roman" w:eastAsia="Times New Roman" w:hAnsi="Times New Roman" w:cs="Times New Roman"/>
      <w:color w:val="000000"/>
      <w:sz w:val="17"/>
      <w:lang w:eastAsia="fr-FR"/>
    </w:rPr>
  </w:style>
  <w:style w:type="character" w:customStyle="1" w:styleId="footnotedescriptionChar">
    <w:name w:val="footnote description Char"/>
    <w:link w:val="footnotedescription"/>
    <w:rsid w:val="00AE5438"/>
    <w:rPr>
      <w:rFonts w:ascii="Times New Roman" w:eastAsia="Times New Roman" w:hAnsi="Times New Roman" w:cs="Times New Roman"/>
      <w:color w:val="000000"/>
      <w:sz w:val="17"/>
      <w:lang w:eastAsia="fr-FR"/>
    </w:rPr>
  </w:style>
  <w:style w:type="character" w:customStyle="1" w:styleId="footnotemark">
    <w:name w:val="footnote mark"/>
    <w:hidden/>
    <w:rsid w:val="00AE5438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character" w:styleId="Lienhypertexte">
    <w:name w:val="Hyperlink"/>
    <w:basedOn w:val="Policepardfaut"/>
    <w:uiPriority w:val="99"/>
    <w:unhideWhenUsed/>
    <w:rsid w:val="00AE543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54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E54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E54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E5438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E5438"/>
    <w:rPr>
      <w:rFonts w:asciiTheme="majorHAnsi" w:eastAsiaTheme="majorEastAsia" w:hAnsiTheme="majorHAnsi" w:cstheme="majorBidi"/>
      <w:color w:val="2F5496" w:themeColor="accent1" w:themeShade="BF"/>
      <w:sz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E5438"/>
    <w:rPr>
      <w:rFonts w:asciiTheme="majorHAnsi" w:eastAsiaTheme="majorEastAsia" w:hAnsiTheme="majorHAnsi" w:cstheme="majorBidi"/>
      <w:color w:val="1F3763" w:themeColor="accent1" w:themeShade="7F"/>
      <w:sz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E5438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E54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E54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72D64"/>
    <w:rPr>
      <w:color w:val="954F72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5731"/>
    <w:pPr>
      <w:numPr>
        <w:numId w:val="0"/>
      </w:numPr>
      <w:spacing w:line="259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D573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D5731"/>
    <w:pPr>
      <w:spacing w:after="100"/>
      <w:ind w:left="200"/>
    </w:pPr>
  </w:style>
  <w:style w:type="paragraph" w:styleId="En-tte">
    <w:name w:val="header"/>
    <w:basedOn w:val="Normal"/>
    <w:link w:val="En-tteCar"/>
    <w:uiPriority w:val="99"/>
    <w:unhideWhenUsed/>
    <w:rsid w:val="002D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731"/>
    <w:rPr>
      <w:rFonts w:ascii="Times New Roman" w:eastAsia="Times New Roman" w:hAnsi="Times New Roman" w:cs="Times New Roman"/>
      <w:color w:val="000000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731"/>
    <w:rPr>
      <w:rFonts w:ascii="Times New Roman" w:eastAsia="Times New Roman" w:hAnsi="Times New Roman" w:cs="Times New Roman"/>
      <w:color w:val="000000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4FA4-0E57-446F-9606-63903B1D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Lounis Lounis</dc:creator>
  <cp:keywords/>
  <dc:description/>
  <cp:lastModifiedBy>Lounis Lounis</cp:lastModifiedBy>
  <cp:revision>2</cp:revision>
  <dcterms:created xsi:type="dcterms:W3CDTF">2020-02-05T16:07:00Z</dcterms:created>
  <dcterms:modified xsi:type="dcterms:W3CDTF">2020-02-08T21:49:00Z</dcterms:modified>
</cp:coreProperties>
</file>