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28E" w:rsidRDefault="004D428E" w:rsidP="004D428E">
      <w:pPr>
        <w:spacing w:after="0" w:line="240" w:lineRule="auto"/>
        <w:rPr>
          <w:rFonts w:ascii="Agency FB" w:eastAsia="Calibri" w:hAnsi="Agency FB" w:cs="Arial"/>
          <w:b/>
          <w:bCs/>
          <w:sz w:val="24"/>
          <w:szCs w:val="24"/>
        </w:rPr>
      </w:pPr>
      <w:r>
        <w:rPr>
          <w:rFonts w:ascii="Vijaya" w:eastAsia="Times New Roman" w:hAnsi="Vijaya" w:cs="Vijaya"/>
          <w:b/>
          <w:bCs/>
          <w:sz w:val="28"/>
          <w:szCs w:val="28"/>
          <w:lang w:eastAsia="fr-FR"/>
        </w:rPr>
        <w:t xml:space="preserve">Université A. Mira    Bejaia </w:t>
      </w:r>
      <w:r w:rsidR="002D5ACB">
        <w:rPr>
          <w:rFonts w:ascii="Vijaya" w:eastAsia="Times New Roman" w:hAnsi="Vijaya" w:cs="Vijaya"/>
          <w:b/>
          <w:bCs/>
          <w:sz w:val="28"/>
          <w:szCs w:val="28"/>
          <w:lang w:eastAsia="fr-FR"/>
        </w:rPr>
        <w:t>01/</w:t>
      </w:r>
      <w:r w:rsidR="008D4B10">
        <w:rPr>
          <w:rFonts w:ascii="Vijaya" w:eastAsia="Times New Roman" w:hAnsi="Vijaya" w:cs="Vijaya"/>
          <w:b/>
          <w:bCs/>
          <w:sz w:val="28"/>
          <w:szCs w:val="28"/>
          <w:lang w:eastAsia="fr-FR"/>
        </w:rPr>
        <w:t>06</w:t>
      </w:r>
      <w:r w:rsidR="002D5ACB">
        <w:rPr>
          <w:rFonts w:ascii="Vijaya" w:eastAsia="Times New Roman" w:hAnsi="Vijaya" w:cs="Vijaya"/>
          <w:b/>
          <w:bCs/>
          <w:sz w:val="28"/>
          <w:szCs w:val="28"/>
          <w:lang w:eastAsia="fr-FR"/>
        </w:rPr>
        <w:t>/</w:t>
      </w:r>
      <w:r w:rsidR="008D4B10">
        <w:rPr>
          <w:rFonts w:ascii="Vijaya" w:eastAsia="Times New Roman" w:hAnsi="Vijaya" w:cs="Vijaya"/>
          <w:b/>
          <w:bCs/>
          <w:sz w:val="28"/>
          <w:szCs w:val="28"/>
          <w:lang w:eastAsia="fr-FR"/>
        </w:rPr>
        <w:t>2021</w:t>
      </w:r>
      <w:r>
        <w:rPr>
          <w:rFonts w:ascii="Vijaya" w:eastAsia="Times New Roman" w:hAnsi="Vijaya" w:cs="Vijaya"/>
          <w:b/>
          <w:bCs/>
          <w:sz w:val="28"/>
          <w:szCs w:val="28"/>
          <w:lang w:eastAsia="fr-FR"/>
        </w:rPr>
        <w:t xml:space="preserve">Niveau MI / Pathologies </w:t>
      </w:r>
      <w:r w:rsidR="008A37EF">
        <w:rPr>
          <w:rFonts w:ascii="Agency FB" w:eastAsia="Calibri" w:hAnsi="Agency FB" w:cs="Arial"/>
          <w:b/>
          <w:bCs/>
          <w:sz w:val="24"/>
          <w:szCs w:val="24"/>
        </w:rPr>
        <w:t xml:space="preserve">du Langage et de la Communication </w:t>
      </w:r>
    </w:p>
    <w:p w:rsidR="008A37EF" w:rsidRPr="004222B4" w:rsidRDefault="004D428E" w:rsidP="004D428E">
      <w:pPr>
        <w:spacing w:after="0" w:line="240" w:lineRule="auto"/>
        <w:rPr>
          <w:rFonts w:ascii="Agency FB" w:eastAsia="Calibri" w:hAnsi="Agency FB" w:cs="Arial"/>
          <w:b/>
          <w:bCs/>
          <w:sz w:val="24"/>
          <w:szCs w:val="24"/>
        </w:rPr>
      </w:pPr>
      <w:r>
        <w:rPr>
          <w:rFonts w:ascii="Agency FB" w:eastAsia="Calibri" w:hAnsi="Agency FB" w:cs="Arial"/>
          <w:b/>
          <w:bCs/>
          <w:sz w:val="24"/>
          <w:szCs w:val="24"/>
        </w:rPr>
        <w:t>EXAMEN à distance troubles d’apprentissage</w:t>
      </w:r>
      <w:bookmarkStart w:id="0" w:name="_GoBack"/>
      <w:bookmarkEnd w:id="0"/>
    </w:p>
    <w:p w:rsidR="008A37EF" w:rsidRDefault="008A37EF" w:rsidP="008A37EF">
      <w:pPr>
        <w:spacing w:after="200" w:line="276" w:lineRule="auto"/>
        <w:rPr>
          <w:rFonts w:ascii="Agency FB" w:eastAsia="Calibri" w:hAnsi="Agency FB" w:cs="Arial"/>
          <w:b/>
          <w:bCs/>
          <w:sz w:val="24"/>
          <w:szCs w:val="24"/>
        </w:rPr>
      </w:pPr>
      <w:r w:rsidRPr="004222B4">
        <w:rPr>
          <w:rFonts w:ascii="Agency FB" w:eastAsia="Calibri" w:hAnsi="Agency FB" w:cs="Arial"/>
          <w:b/>
          <w:bCs/>
          <w:sz w:val="24"/>
          <w:szCs w:val="24"/>
        </w:rPr>
        <w:t>Enseignante/M</w:t>
      </w:r>
      <w:r w:rsidRPr="004222B4">
        <w:rPr>
          <w:rFonts w:ascii="Agency FB" w:eastAsia="Calibri" w:hAnsi="Agency FB" w:cs="Arial"/>
          <w:b/>
          <w:bCs/>
          <w:sz w:val="24"/>
          <w:szCs w:val="24"/>
          <w:vertAlign w:val="superscript"/>
        </w:rPr>
        <w:t>me</w:t>
      </w:r>
      <w:r w:rsidRPr="004222B4">
        <w:rPr>
          <w:rFonts w:ascii="Agency FB" w:eastAsia="Calibri" w:hAnsi="Agency FB" w:cs="Arial"/>
          <w:b/>
          <w:bCs/>
          <w:sz w:val="24"/>
          <w:szCs w:val="24"/>
        </w:rPr>
        <w:t xml:space="preserve">. MEKHOUKH                  </w:t>
      </w:r>
    </w:p>
    <w:p w:rsidR="008A37EF" w:rsidRDefault="008D4B10" w:rsidP="008D4B10">
      <w:pPr>
        <w:spacing w:after="200" w:line="276" w:lineRule="auto"/>
        <w:rPr>
          <w:rFonts w:ascii="Agency FB" w:eastAsia="Calibri" w:hAnsi="Agency FB" w:cs="Arial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NOM et </w:t>
      </w:r>
      <w:r w:rsidR="008A37EF" w:rsidRPr="007D130C">
        <w:rPr>
          <w:rFonts w:asciiTheme="majorBidi" w:eastAsia="Calibri" w:hAnsiTheme="majorBidi" w:cstheme="majorBidi"/>
          <w:b/>
          <w:bCs/>
          <w:sz w:val="24"/>
          <w:szCs w:val="24"/>
        </w:rPr>
        <w:t>PRENOM</w:t>
      </w:r>
      <w:r w:rsidR="008A37EF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 : </w:t>
      </w:r>
      <w:r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groupe :</w:t>
      </w:r>
    </w:p>
    <w:p w:rsidR="008A37EF" w:rsidRPr="004222B4" w:rsidRDefault="0049272B" w:rsidP="008A37EF">
      <w:pPr>
        <w:spacing w:after="200" w:line="276" w:lineRule="auto"/>
        <w:rPr>
          <w:rFonts w:ascii="Algerian" w:eastAsia="Calibri" w:hAnsi="Algerian" w:cs="Arial"/>
          <w:b/>
          <w:bCs/>
          <w:sz w:val="24"/>
          <w:szCs w:val="24"/>
        </w:rPr>
      </w:pPr>
      <w:r>
        <w:rPr>
          <w:rFonts w:ascii="Algerian" w:eastAsia="Calibri" w:hAnsi="Algerian" w:cs="Arial"/>
          <w:b/>
          <w:bCs/>
          <w:noProof/>
          <w:sz w:val="24"/>
          <w:szCs w:val="24"/>
          <w:lang w:eastAsia="fr-FR"/>
        </w:rPr>
        <w:pict>
          <v:line id="Connecteur droit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4pt,11.7pt" to="472.9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" strokecolor="windowText" strokeweight="1pt">
            <v:stroke joinstyle="miter"/>
            <o:lock v:ext="edit" shapetype="f"/>
          </v:line>
        </w:pict>
      </w:r>
    </w:p>
    <w:p w:rsidR="008A37EF" w:rsidRPr="005178E6" w:rsidRDefault="008A37EF" w:rsidP="008A37EF">
      <w:pPr>
        <w:jc w:val="center"/>
        <w:rPr>
          <w:rFonts w:ascii="Algerian" w:eastAsia="Calibri" w:hAnsi="Algerian" w:cs="Arial"/>
          <w:b/>
          <w:bCs/>
          <w:sz w:val="32"/>
          <w:szCs w:val="32"/>
        </w:rPr>
      </w:pPr>
      <w:r>
        <w:rPr>
          <w:rFonts w:ascii="Algerian" w:eastAsia="Calibri" w:hAnsi="Algerian" w:cs="Arial"/>
          <w:b/>
          <w:bCs/>
          <w:sz w:val="32"/>
          <w:szCs w:val="32"/>
        </w:rPr>
        <w:t>Question</w:t>
      </w:r>
    </w:p>
    <w:p w:rsidR="00F12590" w:rsidRPr="00B1010E" w:rsidRDefault="000F43EE" w:rsidP="00F12590">
      <w:pPr>
        <w:rPr>
          <w:rFonts w:asciiTheme="majorBidi" w:hAnsiTheme="majorBidi" w:cstheme="majorBidi"/>
          <w:sz w:val="24"/>
          <w:szCs w:val="24"/>
        </w:rPr>
      </w:pPr>
      <w:r w:rsidRPr="00B1010E">
        <w:rPr>
          <w:rFonts w:asciiTheme="majorBidi" w:hAnsiTheme="majorBidi" w:cstheme="majorBidi"/>
          <w:sz w:val="24"/>
          <w:szCs w:val="24"/>
        </w:rPr>
        <w:t>L’orthophonieconsiste à</w:t>
      </w:r>
      <w:r w:rsidR="008A37EF" w:rsidRPr="00B1010E">
        <w:rPr>
          <w:rFonts w:asciiTheme="majorBidi" w:hAnsiTheme="majorBidi" w:cstheme="majorBidi"/>
          <w:sz w:val="24"/>
          <w:szCs w:val="24"/>
        </w:rPr>
        <w:t xml:space="preserve"> prévenir, à évaluer et à prendre en charge, aussi précocement que possible, </w:t>
      </w:r>
      <w:r w:rsidR="00F12590" w:rsidRPr="00B1010E">
        <w:rPr>
          <w:rFonts w:asciiTheme="majorBidi" w:hAnsiTheme="majorBidi" w:cstheme="majorBidi"/>
          <w:sz w:val="24"/>
          <w:szCs w:val="24"/>
        </w:rPr>
        <w:t xml:space="preserve">les troubles de la communication, les troubles de la voix, et les troubles du langage oral et écrit. Parmi ces troubles, on cite les « troubles d’apprentissage ». </w:t>
      </w:r>
    </w:p>
    <w:p w:rsidR="00F12590" w:rsidRPr="00B1010E" w:rsidRDefault="00F12590" w:rsidP="00F12590">
      <w:pPr>
        <w:rPr>
          <w:rFonts w:asciiTheme="majorBidi" w:hAnsiTheme="majorBidi" w:cstheme="majorBidi"/>
          <w:sz w:val="24"/>
          <w:szCs w:val="24"/>
        </w:rPr>
      </w:pPr>
      <w:r w:rsidRPr="00B1010E">
        <w:rPr>
          <w:rFonts w:asciiTheme="majorBidi" w:hAnsiTheme="majorBidi" w:cstheme="majorBidi"/>
          <w:sz w:val="24"/>
          <w:szCs w:val="24"/>
        </w:rPr>
        <w:t>A l’instar des autres pays, l’Algérie connait un essor considérable dans différentes dimension de la pratique orthophonique, mais des lacunes restent observables.</w:t>
      </w:r>
    </w:p>
    <w:p w:rsidR="00CD5CF2" w:rsidRPr="008D4B10" w:rsidRDefault="00CB661F" w:rsidP="00CB661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1010E">
        <w:rPr>
          <w:rFonts w:asciiTheme="majorBidi" w:hAnsiTheme="majorBidi" w:cstheme="majorBidi"/>
          <w:b/>
          <w:bCs/>
          <w:sz w:val="24"/>
          <w:szCs w:val="24"/>
        </w:rPr>
        <w:t>Q1/</w:t>
      </w:r>
      <w:r w:rsidR="000F43EE" w:rsidRPr="00B1010E">
        <w:rPr>
          <w:rFonts w:asciiTheme="majorBidi" w:hAnsiTheme="majorBidi" w:cstheme="majorBidi"/>
          <w:sz w:val="24"/>
          <w:szCs w:val="24"/>
        </w:rPr>
        <w:t>En tant que futur (e)spécialiste des pathologies du langage et de la communication</w:t>
      </w:r>
      <w:r w:rsidR="00F12590" w:rsidRPr="00B1010E">
        <w:rPr>
          <w:rFonts w:asciiTheme="majorBidi" w:hAnsiTheme="majorBidi" w:cstheme="majorBidi"/>
          <w:sz w:val="24"/>
          <w:szCs w:val="24"/>
        </w:rPr>
        <w:t xml:space="preserve">, </w:t>
      </w:r>
      <w:r w:rsidR="000F43EE" w:rsidRPr="00B1010E">
        <w:rPr>
          <w:rFonts w:asciiTheme="majorBidi" w:hAnsiTheme="majorBidi" w:cstheme="majorBidi"/>
          <w:sz w:val="24"/>
          <w:szCs w:val="24"/>
        </w:rPr>
        <w:t>relevez</w:t>
      </w:r>
      <w:r w:rsidR="00CD5CF2" w:rsidRPr="00B1010E">
        <w:rPr>
          <w:rFonts w:asciiTheme="majorBidi" w:hAnsiTheme="majorBidi" w:cstheme="majorBidi"/>
          <w:sz w:val="24"/>
          <w:szCs w:val="24"/>
        </w:rPr>
        <w:t xml:space="preserve"> (</w:t>
      </w:r>
      <w:r w:rsidRPr="00B1010E">
        <w:rPr>
          <w:rFonts w:asciiTheme="majorBidi" w:hAnsiTheme="majorBidi" w:cstheme="majorBidi"/>
          <w:sz w:val="24"/>
          <w:szCs w:val="24"/>
        </w:rPr>
        <w:t>sous forme</w:t>
      </w:r>
      <w:r w:rsidR="00CD5CF2" w:rsidRPr="00B1010E">
        <w:rPr>
          <w:rFonts w:asciiTheme="majorBidi" w:hAnsiTheme="majorBidi" w:cstheme="majorBidi"/>
          <w:sz w:val="24"/>
          <w:szCs w:val="24"/>
        </w:rPr>
        <w:t xml:space="preserve"> de tirets)</w:t>
      </w:r>
      <w:r w:rsidR="000F43EE" w:rsidRPr="00B1010E">
        <w:rPr>
          <w:rFonts w:asciiTheme="majorBidi" w:hAnsiTheme="majorBidi" w:cstheme="majorBidi"/>
          <w:sz w:val="24"/>
          <w:szCs w:val="24"/>
        </w:rPr>
        <w:t xml:space="preserve"> les difficultés observées dans l’évaluation </w:t>
      </w:r>
      <w:r w:rsidR="00CD5CF2" w:rsidRPr="00B1010E">
        <w:rPr>
          <w:rFonts w:asciiTheme="majorBidi" w:hAnsiTheme="majorBidi" w:cstheme="majorBidi"/>
          <w:sz w:val="24"/>
          <w:szCs w:val="24"/>
        </w:rPr>
        <w:t xml:space="preserve">et la prise en charge </w:t>
      </w:r>
      <w:r w:rsidR="000F43EE" w:rsidRPr="00B1010E">
        <w:rPr>
          <w:rFonts w:asciiTheme="majorBidi" w:hAnsiTheme="majorBidi" w:cstheme="majorBidi"/>
          <w:sz w:val="24"/>
          <w:szCs w:val="24"/>
        </w:rPr>
        <w:t>des troubles d’</w:t>
      </w:r>
      <w:r w:rsidR="002D5ACB" w:rsidRPr="00B1010E">
        <w:rPr>
          <w:rFonts w:asciiTheme="majorBidi" w:hAnsiTheme="majorBidi" w:cstheme="majorBidi"/>
          <w:sz w:val="24"/>
          <w:szCs w:val="24"/>
        </w:rPr>
        <w:t>apprentissage.</w:t>
      </w:r>
      <w:r w:rsidR="008D4B10" w:rsidRPr="008D4B10">
        <w:rPr>
          <w:rFonts w:asciiTheme="majorBidi" w:hAnsiTheme="majorBidi" w:cstheme="majorBidi"/>
          <w:b/>
          <w:bCs/>
          <w:sz w:val="24"/>
          <w:szCs w:val="24"/>
        </w:rPr>
        <w:t>(10pts)</w:t>
      </w:r>
    </w:p>
    <w:p w:rsidR="000F43EE" w:rsidRPr="00B1010E" w:rsidRDefault="00C12EDA" w:rsidP="00C12EDA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1010E">
        <w:rPr>
          <w:rFonts w:asciiTheme="majorBidi" w:hAnsiTheme="majorBidi" w:cstheme="majorBidi"/>
          <w:sz w:val="24"/>
          <w:szCs w:val="24"/>
        </w:rPr>
        <w:t>Les difficultés observées dans l’évaluation des troubles d’apprentissages sont :</w:t>
      </w:r>
    </w:p>
    <w:p w:rsidR="00C12EDA" w:rsidRPr="00B1010E" w:rsidRDefault="00C12EDA" w:rsidP="00C12EDA">
      <w:pPr>
        <w:rPr>
          <w:rFonts w:asciiTheme="majorBidi" w:hAnsiTheme="majorBidi" w:cstheme="majorBidi"/>
          <w:color w:val="00B0F0"/>
          <w:sz w:val="24"/>
          <w:szCs w:val="24"/>
        </w:rPr>
      </w:pPr>
      <w:r w:rsidRPr="00B1010E">
        <w:rPr>
          <w:rFonts w:asciiTheme="majorBidi" w:hAnsiTheme="majorBidi" w:cstheme="majorBidi"/>
          <w:color w:val="00B0F0"/>
          <w:sz w:val="24"/>
          <w:szCs w:val="24"/>
        </w:rPr>
        <w:t>Réponse ici</w:t>
      </w:r>
    </w:p>
    <w:p w:rsidR="000F43EE" w:rsidRPr="00B1010E" w:rsidRDefault="00C12EDA" w:rsidP="00C12EDA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1010E">
        <w:rPr>
          <w:rFonts w:asciiTheme="majorBidi" w:hAnsiTheme="majorBidi" w:cstheme="majorBidi"/>
          <w:sz w:val="24"/>
          <w:szCs w:val="24"/>
        </w:rPr>
        <w:t>Les difficultés observées dans la prise en charge des troubles d’apprentissages sont :</w:t>
      </w:r>
    </w:p>
    <w:p w:rsidR="00C12EDA" w:rsidRPr="00B1010E" w:rsidRDefault="00CB661F" w:rsidP="00CB661F">
      <w:pPr>
        <w:rPr>
          <w:rFonts w:asciiTheme="majorBidi" w:hAnsiTheme="majorBidi" w:cstheme="majorBidi"/>
          <w:color w:val="00B0F0"/>
          <w:sz w:val="24"/>
          <w:szCs w:val="24"/>
        </w:rPr>
      </w:pPr>
      <w:r w:rsidRPr="00B1010E">
        <w:rPr>
          <w:rFonts w:asciiTheme="majorBidi" w:hAnsiTheme="majorBidi" w:cstheme="majorBidi"/>
          <w:color w:val="00B0F0"/>
          <w:sz w:val="24"/>
          <w:szCs w:val="24"/>
        </w:rPr>
        <w:t>Réponse ici</w:t>
      </w:r>
    </w:p>
    <w:p w:rsidR="00F12590" w:rsidRPr="008D4B10" w:rsidRDefault="00CB661F" w:rsidP="000F43E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B1010E">
        <w:rPr>
          <w:rFonts w:asciiTheme="majorBidi" w:hAnsiTheme="majorBidi" w:cstheme="majorBidi"/>
          <w:b/>
          <w:bCs/>
          <w:sz w:val="24"/>
          <w:szCs w:val="24"/>
        </w:rPr>
        <w:t>Q2/</w:t>
      </w:r>
      <w:r w:rsidRPr="00B1010E">
        <w:rPr>
          <w:rFonts w:asciiTheme="majorBidi" w:hAnsiTheme="majorBidi" w:cstheme="majorBidi"/>
          <w:sz w:val="24"/>
          <w:szCs w:val="24"/>
        </w:rPr>
        <w:t xml:space="preserve"> Que</w:t>
      </w:r>
      <w:r w:rsidR="00F12590" w:rsidRPr="00B1010E">
        <w:rPr>
          <w:rFonts w:asciiTheme="majorBidi" w:hAnsiTheme="majorBidi" w:cstheme="majorBidi"/>
          <w:sz w:val="24"/>
          <w:szCs w:val="24"/>
        </w:rPr>
        <w:t xml:space="preserve"> proposez-vous comme solutions pour pallier aux lacunes observé</w:t>
      </w:r>
      <w:r w:rsidRPr="00B1010E">
        <w:rPr>
          <w:rFonts w:asciiTheme="majorBidi" w:hAnsiTheme="majorBidi" w:cstheme="majorBidi"/>
          <w:sz w:val="24"/>
          <w:szCs w:val="24"/>
        </w:rPr>
        <w:t>e</w:t>
      </w:r>
      <w:r w:rsidR="00F12590" w:rsidRPr="00B1010E">
        <w:rPr>
          <w:rFonts w:asciiTheme="majorBidi" w:hAnsiTheme="majorBidi" w:cstheme="majorBidi"/>
          <w:sz w:val="24"/>
          <w:szCs w:val="24"/>
        </w:rPr>
        <w:t xml:space="preserve">s </w:t>
      </w:r>
      <w:r w:rsidRPr="00B1010E">
        <w:rPr>
          <w:rFonts w:asciiTheme="majorBidi" w:hAnsiTheme="majorBidi" w:cstheme="majorBidi"/>
          <w:sz w:val="24"/>
          <w:szCs w:val="24"/>
        </w:rPr>
        <w:t>dans l’évaluation et la</w:t>
      </w:r>
      <w:r w:rsidR="00F12590" w:rsidRPr="00B1010E">
        <w:rPr>
          <w:rFonts w:asciiTheme="majorBidi" w:hAnsiTheme="majorBidi" w:cstheme="majorBidi"/>
          <w:sz w:val="24"/>
          <w:szCs w:val="24"/>
        </w:rPr>
        <w:t xml:space="preserve"> prise en charge des « troubles d’apprentissage » ?  </w:t>
      </w:r>
      <w:r w:rsidR="008D4B10">
        <w:rPr>
          <w:rFonts w:asciiTheme="majorBidi" w:hAnsiTheme="majorBidi" w:cstheme="majorBidi"/>
          <w:b/>
          <w:bCs/>
          <w:sz w:val="24"/>
          <w:szCs w:val="24"/>
        </w:rPr>
        <w:t>(10pts)</w:t>
      </w:r>
    </w:p>
    <w:p w:rsidR="00202A91" w:rsidRPr="00B1010E" w:rsidRDefault="00202A91" w:rsidP="00202A9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1010E">
        <w:rPr>
          <w:rFonts w:asciiTheme="majorBidi" w:hAnsiTheme="majorBidi" w:cstheme="majorBidi"/>
          <w:sz w:val="24"/>
          <w:szCs w:val="24"/>
        </w:rPr>
        <w:t>Les solutions proposées pour pallier aux lacunes observées dans l’évaluation des « troubles d’apprentissage»</w:t>
      </w:r>
      <w:r w:rsidR="00B1010E">
        <w:rPr>
          <w:rFonts w:asciiTheme="majorBidi" w:hAnsiTheme="majorBidi" w:cstheme="majorBidi"/>
          <w:sz w:val="24"/>
          <w:szCs w:val="24"/>
        </w:rPr>
        <w:t xml:space="preserve"> sont :</w:t>
      </w:r>
      <w:r w:rsidRPr="00B1010E">
        <w:rPr>
          <w:rFonts w:asciiTheme="majorBidi" w:hAnsiTheme="majorBidi" w:cstheme="majorBidi"/>
          <w:sz w:val="24"/>
          <w:szCs w:val="24"/>
        </w:rPr>
        <w:t xml:space="preserve"> (répondez sous forme de tirets)</w:t>
      </w:r>
    </w:p>
    <w:p w:rsidR="00202A91" w:rsidRPr="00B1010E" w:rsidRDefault="00202A91" w:rsidP="00202A9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00B0F0"/>
          <w:sz w:val="24"/>
          <w:szCs w:val="24"/>
        </w:rPr>
      </w:pPr>
      <w:r w:rsidRPr="00B1010E">
        <w:rPr>
          <w:rFonts w:asciiTheme="majorBidi" w:hAnsiTheme="majorBidi" w:cstheme="majorBidi"/>
          <w:color w:val="00B0F0"/>
          <w:sz w:val="24"/>
          <w:szCs w:val="24"/>
        </w:rPr>
        <w:t>Réponse ici</w:t>
      </w:r>
    </w:p>
    <w:p w:rsidR="00202A91" w:rsidRPr="00B1010E" w:rsidRDefault="00202A91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202A91" w:rsidRPr="00B1010E" w:rsidRDefault="00202A91" w:rsidP="00202A9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B1010E">
        <w:rPr>
          <w:rFonts w:asciiTheme="majorBidi" w:hAnsiTheme="majorBidi" w:cstheme="majorBidi"/>
          <w:sz w:val="24"/>
          <w:szCs w:val="24"/>
        </w:rPr>
        <w:t>Les solutions proposées pour pallier aux lacunes observées dans la prise en charge des « troubles d’apprentissage »</w:t>
      </w:r>
      <w:r w:rsidR="00B1010E">
        <w:rPr>
          <w:rFonts w:asciiTheme="majorBidi" w:hAnsiTheme="majorBidi" w:cstheme="majorBidi"/>
          <w:sz w:val="24"/>
          <w:szCs w:val="24"/>
        </w:rPr>
        <w:t xml:space="preserve"> sont :</w:t>
      </w:r>
      <w:r w:rsidRPr="00B1010E">
        <w:rPr>
          <w:rFonts w:asciiTheme="majorBidi" w:hAnsiTheme="majorBidi" w:cstheme="majorBidi"/>
          <w:sz w:val="24"/>
          <w:szCs w:val="24"/>
        </w:rPr>
        <w:t xml:space="preserve"> (répondez sous forme de tirets)</w:t>
      </w:r>
    </w:p>
    <w:p w:rsidR="00202A91" w:rsidRPr="00B1010E" w:rsidRDefault="00202A91" w:rsidP="00202A91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00B0F0"/>
          <w:sz w:val="24"/>
          <w:szCs w:val="24"/>
        </w:rPr>
      </w:pPr>
      <w:r w:rsidRPr="00B1010E">
        <w:rPr>
          <w:rFonts w:asciiTheme="majorBidi" w:hAnsiTheme="majorBidi" w:cstheme="majorBidi"/>
          <w:color w:val="00B0F0"/>
          <w:sz w:val="24"/>
          <w:szCs w:val="24"/>
        </w:rPr>
        <w:t>Réponse ici</w:t>
      </w:r>
    </w:p>
    <w:p w:rsidR="00202A91" w:rsidRDefault="00202A91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1010E" w:rsidRDefault="00B1010E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1010E" w:rsidRDefault="00B1010E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1010E" w:rsidRDefault="00B1010E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1010E" w:rsidRDefault="00B1010E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1010E" w:rsidRDefault="00B1010E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B1010E" w:rsidRPr="006D1896" w:rsidRDefault="00B1010E" w:rsidP="00B1010E">
      <w:pPr>
        <w:jc w:val="right"/>
        <w:rPr>
          <w:rFonts w:asciiTheme="majorBidi" w:hAnsiTheme="majorBidi" w:cstheme="majorBidi"/>
          <w:sz w:val="24"/>
          <w:szCs w:val="24"/>
        </w:rPr>
      </w:pPr>
      <w:r w:rsidRPr="006D1896">
        <w:rPr>
          <w:rFonts w:ascii="Algerian" w:hAnsi="Algerian" w:cstheme="majorBidi"/>
          <w:sz w:val="24"/>
          <w:szCs w:val="24"/>
        </w:rPr>
        <w:t>Bon courage</w:t>
      </w:r>
    </w:p>
    <w:p w:rsidR="00B1010E" w:rsidRDefault="00B1010E" w:rsidP="00B1010E">
      <w:pPr>
        <w:pStyle w:val="Paragraphedeliste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B1010E" w:rsidRDefault="00B1010E" w:rsidP="00B1010E">
      <w:pPr>
        <w:pStyle w:val="Paragraphedeliste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B1010E" w:rsidRDefault="00B1010E" w:rsidP="00B1010E">
      <w:pPr>
        <w:pStyle w:val="Paragraphedeliste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B1010E" w:rsidRDefault="00B1010E" w:rsidP="00B1010E">
      <w:pPr>
        <w:pStyle w:val="Paragraphedeliste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B1010E" w:rsidRPr="00D0241D" w:rsidRDefault="00B1010E" w:rsidP="00B1010E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>Remarque :</w:t>
      </w:r>
    </w:p>
    <w:p w:rsidR="00B1010E" w:rsidRPr="00D0241D" w:rsidRDefault="00B1010E" w:rsidP="00B1010E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0241D">
        <w:rPr>
          <w:rFonts w:asciiTheme="majorBidi" w:hAnsiTheme="majorBidi" w:cstheme="majorBidi"/>
          <w:color w:val="FF0000"/>
          <w:sz w:val="24"/>
          <w:szCs w:val="24"/>
        </w:rPr>
        <w:t xml:space="preserve">-Répondez aux questions en </w:t>
      </w:r>
      <w:r w:rsidRPr="00D0241D">
        <w:rPr>
          <w:rFonts w:asciiTheme="majorBidi" w:hAnsiTheme="majorBidi" w:cstheme="majorBidi"/>
          <w:color w:val="0070C0"/>
          <w:sz w:val="24"/>
          <w:szCs w:val="24"/>
        </w:rPr>
        <w:t xml:space="preserve">bleu </w:t>
      </w:r>
      <w:r w:rsidRPr="00D0241D">
        <w:rPr>
          <w:rFonts w:asciiTheme="majorBidi" w:hAnsiTheme="majorBidi" w:cstheme="majorBidi"/>
          <w:color w:val="FF0000"/>
          <w:sz w:val="24"/>
          <w:szCs w:val="24"/>
        </w:rPr>
        <w:t xml:space="preserve">en utilisant l’application </w:t>
      </w:r>
      <w:r w:rsidRPr="00D0241D">
        <w:rPr>
          <w:rFonts w:asciiTheme="majorBidi" w:hAnsiTheme="majorBidi" w:cstheme="majorBidi"/>
          <w:b/>
          <w:bCs/>
          <w:color w:val="FF0000"/>
          <w:sz w:val="24"/>
          <w:szCs w:val="24"/>
        </w:rPr>
        <w:t>WORD</w:t>
      </w:r>
    </w:p>
    <w:p w:rsidR="00B1010E" w:rsidRPr="00D0241D" w:rsidRDefault="00B1010E" w:rsidP="00B1010E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0241D">
        <w:rPr>
          <w:rFonts w:asciiTheme="majorBidi" w:hAnsiTheme="majorBidi" w:cstheme="majorBidi"/>
          <w:color w:val="FF0000"/>
          <w:sz w:val="24"/>
          <w:szCs w:val="24"/>
        </w:rPr>
        <w:t xml:space="preserve">-Les étudiants ayant des copies avec réponses </w:t>
      </w:r>
      <w:r w:rsidRPr="00D0241D">
        <w:rPr>
          <w:rFonts w:asciiTheme="majorBidi" w:hAnsiTheme="majorBidi" w:cstheme="majorBidi"/>
          <w:b/>
          <w:bCs/>
          <w:color w:val="FF0000"/>
          <w:sz w:val="24"/>
          <w:szCs w:val="24"/>
        </w:rPr>
        <w:t>semblables</w:t>
      </w:r>
      <w:r w:rsidRPr="00D0241D">
        <w:rPr>
          <w:rFonts w:asciiTheme="majorBidi" w:hAnsiTheme="majorBidi" w:cstheme="majorBidi"/>
          <w:color w:val="FF0000"/>
          <w:sz w:val="24"/>
          <w:szCs w:val="24"/>
        </w:rPr>
        <w:t xml:space="preserve"> seront </w:t>
      </w:r>
      <w:r w:rsidRPr="00D0241D">
        <w:rPr>
          <w:rFonts w:asciiTheme="majorBidi" w:hAnsiTheme="majorBidi" w:cstheme="majorBidi"/>
          <w:b/>
          <w:bCs/>
          <w:color w:val="FF0000"/>
          <w:sz w:val="24"/>
          <w:szCs w:val="24"/>
        </w:rPr>
        <w:t>sanctionnés</w:t>
      </w:r>
      <w:r w:rsidRPr="00D0241D">
        <w:rPr>
          <w:rFonts w:asciiTheme="majorBidi" w:hAnsiTheme="majorBidi" w:cstheme="majorBidi"/>
          <w:color w:val="FF0000"/>
          <w:sz w:val="24"/>
          <w:szCs w:val="24"/>
        </w:rPr>
        <w:t>.</w:t>
      </w:r>
    </w:p>
    <w:p w:rsidR="00B1010E" w:rsidRPr="00D0241D" w:rsidRDefault="00B1010E" w:rsidP="00B1010E">
      <w:pPr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D0241D">
        <w:rPr>
          <w:rFonts w:asciiTheme="majorBidi" w:hAnsiTheme="majorBidi" w:cstheme="majorBidi"/>
          <w:color w:val="FF0000"/>
          <w:sz w:val="24"/>
          <w:szCs w:val="24"/>
        </w:rPr>
        <w:t>- répondez à votre manière</w:t>
      </w:r>
      <w:r>
        <w:rPr>
          <w:rFonts w:asciiTheme="majorBidi" w:hAnsiTheme="majorBidi" w:cstheme="majorBidi"/>
          <w:color w:val="FF0000"/>
          <w:sz w:val="24"/>
          <w:szCs w:val="24"/>
        </w:rPr>
        <w:t xml:space="preserve"> selon votre compréhension pour le cours. En effet, l</w:t>
      </w:r>
      <w:r w:rsidRPr="00D0241D">
        <w:rPr>
          <w:rFonts w:asciiTheme="majorBidi" w:hAnsiTheme="majorBidi" w:cstheme="majorBidi"/>
          <w:color w:val="FF0000"/>
          <w:sz w:val="24"/>
          <w:szCs w:val="24"/>
        </w:rPr>
        <w:t>es reproductions de l’internet ne seront pas prises en considération dans la correction.</w:t>
      </w:r>
    </w:p>
    <w:p w:rsidR="00B1010E" w:rsidRPr="00D0241D" w:rsidRDefault="00B1010E" w:rsidP="00B1010E">
      <w:pPr>
        <w:keepNext/>
        <w:keepLines/>
        <w:spacing w:before="40" w:after="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 xml:space="preserve">- Les copies seront </w:t>
      </w:r>
      <w:r w:rsidRPr="00D0241D"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imprimées</w:t>
      </w: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 xml:space="preserve"> et </w:t>
      </w:r>
      <w:r w:rsidRPr="00D0241D"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remises</w:t>
      </w:r>
      <w:r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>en présentiel, le mercredi</w:t>
      </w: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>(</w:t>
      </w:r>
      <w:r w:rsidRPr="00D0241D"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 xml:space="preserve">le </w:t>
      </w:r>
      <w:r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02</w:t>
      </w:r>
      <w:r w:rsidRPr="00D0241D"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/</w:t>
      </w:r>
      <w:r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06</w:t>
      </w:r>
      <w:r w:rsidRPr="00D0241D"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/2021</w:t>
      </w: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 xml:space="preserve">) au niveau de la salle </w:t>
      </w:r>
      <w:r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38</w:t>
      </w: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 xml:space="preserve">, entre </w:t>
      </w:r>
      <w:r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9h30</w:t>
      </w: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 xml:space="preserve"> et </w:t>
      </w:r>
      <w:r>
        <w:rPr>
          <w:rFonts w:asciiTheme="majorBidi" w:eastAsiaTheme="majorEastAsia" w:hAnsiTheme="majorBidi" w:cstheme="majorBidi"/>
          <w:b/>
          <w:bCs/>
          <w:color w:val="FF0000"/>
          <w:sz w:val="24"/>
          <w:szCs w:val="24"/>
          <w:lang w:eastAsia="fr-FR"/>
        </w:rPr>
        <w:t>10h30</w:t>
      </w:r>
      <w:r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 xml:space="preserve">. </w:t>
      </w: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>Dépassant ce déla</w:t>
      </w:r>
      <w:r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>i, aucune copie ne sera acceptée</w:t>
      </w:r>
      <w:r w:rsidRPr="00D0241D">
        <w:rPr>
          <w:rFonts w:asciiTheme="majorBidi" w:eastAsiaTheme="majorEastAsia" w:hAnsiTheme="majorBidi" w:cstheme="majorBidi"/>
          <w:color w:val="FF0000"/>
          <w:sz w:val="24"/>
          <w:szCs w:val="24"/>
          <w:lang w:eastAsia="fr-FR"/>
        </w:rPr>
        <w:t>.</w:t>
      </w:r>
    </w:p>
    <w:p w:rsidR="00B1010E" w:rsidRPr="004A757E" w:rsidRDefault="00B1010E" w:rsidP="00B1010E">
      <w:pPr>
        <w:pStyle w:val="Paragraphedeliste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B1010E" w:rsidRPr="00B1010E" w:rsidRDefault="00B1010E" w:rsidP="00202A91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sectPr w:rsidR="00B1010E" w:rsidRPr="00B1010E" w:rsidSect="0049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78D1"/>
    <w:multiLevelType w:val="hybridMultilevel"/>
    <w:tmpl w:val="5A34F0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A37EF"/>
    <w:rsid w:val="000F43EE"/>
    <w:rsid w:val="00202A91"/>
    <w:rsid w:val="002D5ACB"/>
    <w:rsid w:val="0049272B"/>
    <w:rsid w:val="004D428E"/>
    <w:rsid w:val="008962E2"/>
    <w:rsid w:val="008A37EF"/>
    <w:rsid w:val="008C3904"/>
    <w:rsid w:val="008D4B10"/>
    <w:rsid w:val="00A53693"/>
    <w:rsid w:val="00B1010E"/>
    <w:rsid w:val="00C12EDA"/>
    <w:rsid w:val="00C510AC"/>
    <w:rsid w:val="00CB661F"/>
    <w:rsid w:val="00CD5CF2"/>
    <w:rsid w:val="00F12590"/>
    <w:rsid w:val="00F66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2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- Les copies seront imprimées et remises en présentiel, le mercredi (le 02/06/20</vt:lpstr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Wld</cp:lastModifiedBy>
  <cp:revision>2</cp:revision>
  <dcterms:created xsi:type="dcterms:W3CDTF">2021-06-01T05:53:00Z</dcterms:created>
  <dcterms:modified xsi:type="dcterms:W3CDTF">2021-06-01T05:53:00Z</dcterms:modified>
</cp:coreProperties>
</file>