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FC" w:rsidRDefault="00D706FC" w:rsidP="00D706FC">
      <w:pPr>
        <w:bidi/>
        <w:ind w:firstLine="708"/>
        <w:jc w:val="center"/>
        <w:rPr>
          <w:rFonts w:ascii="Traditional Arabic" w:hAnsi="Traditional Arabic" w:cs="Traditional Arabic" w:hint="cs"/>
          <w:b/>
          <w:bCs/>
          <w:sz w:val="32"/>
          <w:szCs w:val="32"/>
          <w:u w:val="single"/>
          <w:rtl/>
          <w:lang w:bidi="ar-DZ"/>
        </w:rPr>
      </w:pPr>
      <w:r>
        <w:rPr>
          <w:rFonts w:ascii="Traditional Arabic" w:hAnsi="Traditional Arabic" w:cs="Traditional Arabic" w:hint="cs"/>
          <w:b/>
          <w:bCs/>
          <w:sz w:val="32"/>
          <w:szCs w:val="32"/>
          <w:u w:val="single"/>
          <w:rtl/>
          <w:lang w:bidi="ar-DZ"/>
        </w:rPr>
        <w:t>المحاضرة الرابعة : مدارس الأدب المقارن</w:t>
      </w:r>
    </w:p>
    <w:p w:rsidR="00D706FC" w:rsidRPr="00895D8A" w:rsidRDefault="00D706FC" w:rsidP="00D706FC">
      <w:pPr>
        <w:bidi/>
        <w:ind w:firstLine="708"/>
        <w:jc w:val="center"/>
        <w:rPr>
          <w:rFonts w:ascii="Traditional Arabic" w:hAnsi="Traditional Arabic" w:cs="Traditional Arabic" w:hint="cs"/>
          <w:b/>
          <w:bCs/>
          <w:sz w:val="36"/>
          <w:szCs w:val="36"/>
          <w:u w:val="single"/>
          <w:rtl/>
          <w:lang w:bidi="ar-DZ"/>
        </w:rPr>
      </w:pPr>
      <w:r w:rsidRPr="00895D8A">
        <w:rPr>
          <w:rFonts w:ascii="Traditional Arabic" w:hAnsi="Traditional Arabic" w:cs="Traditional Arabic" w:hint="cs"/>
          <w:b/>
          <w:bCs/>
          <w:sz w:val="36"/>
          <w:szCs w:val="36"/>
          <w:u w:val="single"/>
          <w:rtl/>
          <w:lang w:bidi="ar-DZ"/>
        </w:rPr>
        <w:t xml:space="preserve"> (المدرسة الفرنسية-التاريخية-)</w:t>
      </w:r>
    </w:p>
    <w:p w:rsidR="00D706FC" w:rsidRPr="00895D8A" w:rsidRDefault="00D706FC" w:rsidP="00D706FC">
      <w:pPr>
        <w:bidi/>
        <w:spacing w:line="240" w:lineRule="auto"/>
        <w:ind w:firstLine="708"/>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rtl/>
          <w:lang w:bidi="ar-DZ"/>
        </w:rPr>
        <w:t xml:space="preserve">تعد المدرسة الفرنسية من أقدم مدارس الأدب المقارن، حيث بدأ الأدب المقارن يدّرس في فرنسا ابتداء من 1827م على يد ثلة من الدارسين وفي مقدمتهم </w:t>
      </w:r>
      <w:r w:rsidRPr="00D706FC">
        <w:rPr>
          <w:rFonts w:ascii="Traditional Arabic" w:hAnsi="Traditional Arabic" w:cs="Traditional Arabic" w:hint="cs"/>
          <w:b/>
          <w:bCs/>
          <w:sz w:val="32"/>
          <w:szCs w:val="32"/>
          <w:rtl/>
          <w:lang w:bidi="ar-DZ"/>
        </w:rPr>
        <w:t>آبل فيلمان</w:t>
      </w:r>
      <w:r w:rsidRPr="00895D8A">
        <w:rPr>
          <w:rFonts w:ascii="Traditional Arabic" w:hAnsi="Traditional Arabic" w:cs="Traditional Arabic" w:hint="cs"/>
          <w:sz w:val="32"/>
          <w:szCs w:val="32"/>
          <w:rtl/>
          <w:lang w:bidi="ar-DZ"/>
        </w:rPr>
        <w:t>، الذي ألقى مجموعة من المحاضرات في جامعة السوربون في باريس</w:t>
      </w:r>
      <w:r>
        <w:rPr>
          <w:rFonts w:ascii="Traditional Arabic" w:hAnsi="Traditional Arabic" w:cs="Traditional Arabic" w:hint="cs"/>
          <w:sz w:val="32"/>
          <w:szCs w:val="32"/>
          <w:rtl/>
          <w:lang w:bidi="ar-DZ"/>
        </w:rPr>
        <w:t>،</w:t>
      </w:r>
      <w:r w:rsidRPr="00895D8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w:t>
      </w:r>
      <w:r w:rsidRPr="00895D8A">
        <w:rPr>
          <w:rFonts w:ascii="Traditional Arabic" w:hAnsi="Traditional Arabic" w:cs="Traditional Arabic" w:hint="cs"/>
          <w:sz w:val="32"/>
          <w:szCs w:val="32"/>
          <w:rtl/>
          <w:lang w:bidi="ar-DZ"/>
        </w:rPr>
        <w:t xml:space="preserve">تطرق فيها إلى مصطلح الأدب المقارن، كما قدم فيلمان في محاضراته هذه أمثلة على التأثير المتبادل بين الأدب الإيطالي والأدب الفرنسي ونظيره الإنجليزي. </w:t>
      </w:r>
    </w:p>
    <w:p w:rsidR="00D706FC" w:rsidRPr="00895D8A" w:rsidRDefault="00D706FC" w:rsidP="00D706FC">
      <w:pPr>
        <w:bidi/>
        <w:spacing w:line="240" w:lineRule="auto"/>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rtl/>
          <w:lang w:bidi="ar-DZ"/>
        </w:rPr>
        <w:t>ولم يكن</w:t>
      </w:r>
      <w:r w:rsidRPr="00D706FC">
        <w:rPr>
          <w:rFonts w:ascii="Traditional Arabic" w:hAnsi="Traditional Arabic" w:cs="Traditional Arabic" w:hint="cs"/>
          <w:b/>
          <w:bCs/>
          <w:sz w:val="32"/>
          <w:szCs w:val="32"/>
          <w:rtl/>
          <w:lang w:bidi="ar-DZ"/>
        </w:rPr>
        <w:t xml:space="preserve"> فيلمان</w:t>
      </w:r>
      <w:r w:rsidRPr="00895D8A">
        <w:rPr>
          <w:rFonts w:ascii="Traditional Arabic" w:hAnsi="Traditional Arabic" w:cs="Traditional Arabic" w:hint="cs"/>
          <w:sz w:val="32"/>
          <w:szCs w:val="32"/>
          <w:rtl/>
          <w:lang w:bidi="ar-DZ"/>
        </w:rPr>
        <w:t xml:space="preserve"> هو الوحيد الذي  تطرق إلى هذه القضية، حيث اتجه جاك أمبير إلى</w:t>
      </w:r>
      <w:r>
        <w:rPr>
          <w:rFonts w:ascii="Traditional Arabic" w:hAnsi="Traditional Arabic" w:cs="Traditional Arabic" w:hint="cs"/>
          <w:sz w:val="32"/>
          <w:szCs w:val="32"/>
          <w:rtl/>
          <w:lang w:bidi="ar-DZ"/>
        </w:rPr>
        <w:t xml:space="preserve"> معالجة</w:t>
      </w:r>
      <w:r w:rsidRPr="00895D8A">
        <w:rPr>
          <w:rFonts w:ascii="Traditional Arabic" w:hAnsi="Traditional Arabic" w:cs="Traditional Arabic" w:hint="cs"/>
          <w:sz w:val="32"/>
          <w:szCs w:val="32"/>
          <w:rtl/>
          <w:lang w:bidi="ar-DZ"/>
        </w:rPr>
        <w:t xml:space="preserve"> نفس </w:t>
      </w:r>
      <w:r>
        <w:rPr>
          <w:rFonts w:ascii="Traditional Arabic" w:hAnsi="Traditional Arabic" w:cs="Traditional Arabic" w:hint="cs"/>
          <w:sz w:val="32"/>
          <w:szCs w:val="32"/>
          <w:rtl/>
          <w:lang w:bidi="ar-DZ"/>
        </w:rPr>
        <w:t xml:space="preserve">القضية </w:t>
      </w:r>
      <w:r w:rsidRPr="00895D8A">
        <w:rPr>
          <w:rFonts w:ascii="Traditional Arabic" w:hAnsi="Traditional Arabic" w:cs="Traditional Arabic" w:hint="cs"/>
          <w:sz w:val="32"/>
          <w:szCs w:val="32"/>
          <w:rtl/>
          <w:lang w:bidi="ar-DZ"/>
        </w:rPr>
        <w:t>في محاضرة ألقاها في مارسيليا عام 1830، ثم انتقل ليحاضر في</w:t>
      </w:r>
      <w:r w:rsidR="002D5F90">
        <w:rPr>
          <w:rFonts w:ascii="Traditional Arabic" w:hAnsi="Traditional Arabic" w:cs="Traditional Arabic" w:hint="cs"/>
          <w:sz w:val="32"/>
          <w:szCs w:val="32"/>
          <w:rtl/>
          <w:lang w:bidi="ar-DZ"/>
        </w:rPr>
        <w:t xml:space="preserve"> جامعة</w:t>
      </w:r>
      <w:r w:rsidRPr="00895D8A">
        <w:rPr>
          <w:rFonts w:ascii="Traditional Arabic" w:hAnsi="Traditional Arabic" w:cs="Traditional Arabic" w:hint="cs"/>
          <w:sz w:val="32"/>
          <w:szCs w:val="32"/>
          <w:rtl/>
          <w:lang w:bidi="ar-DZ"/>
        </w:rPr>
        <w:t xml:space="preserve"> السوربون أين تحدث هناك عن علاقة الأدب الفرنسي بالآداب الأوروبية الغربية في العصور الوسطى.</w:t>
      </w:r>
    </w:p>
    <w:p w:rsidR="00D706FC" w:rsidRPr="00895D8A" w:rsidRDefault="002D5F90" w:rsidP="00D706FC">
      <w:pPr>
        <w:bidi/>
        <w:spacing w:line="240" w:lineRule="auto"/>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ع</w:t>
      </w:r>
      <w:r w:rsidR="00D706FC" w:rsidRPr="00895D8A">
        <w:rPr>
          <w:rFonts w:ascii="Traditional Arabic" w:hAnsi="Traditional Arabic" w:cs="Traditional Arabic" w:hint="cs"/>
          <w:sz w:val="32"/>
          <w:szCs w:val="32"/>
          <w:rtl/>
          <w:lang w:bidi="ar-DZ"/>
        </w:rPr>
        <w:t xml:space="preserve">رفت المدرسة الفرنسية تطورها من خلال أبحاث </w:t>
      </w:r>
      <w:r w:rsidR="00D706FC" w:rsidRPr="002D5F90">
        <w:rPr>
          <w:rFonts w:ascii="Traditional Arabic" w:hAnsi="Traditional Arabic" w:cs="Traditional Arabic" w:hint="cs"/>
          <w:b/>
          <w:bCs/>
          <w:sz w:val="32"/>
          <w:szCs w:val="32"/>
          <w:rtl/>
          <w:lang w:bidi="ar-DZ"/>
        </w:rPr>
        <w:t>فان تييغم</w:t>
      </w:r>
      <w:r w:rsidR="00D706FC" w:rsidRPr="00895D8A">
        <w:rPr>
          <w:rFonts w:ascii="Traditional Arabic" w:hAnsi="Traditional Arabic" w:cs="Traditional Arabic" w:hint="cs"/>
          <w:sz w:val="32"/>
          <w:szCs w:val="32"/>
          <w:rtl/>
          <w:lang w:bidi="ar-DZ"/>
        </w:rPr>
        <w:t xml:space="preserve"> و </w:t>
      </w:r>
      <w:r w:rsidR="00D706FC" w:rsidRPr="002D5F90">
        <w:rPr>
          <w:rFonts w:ascii="Traditional Arabic" w:hAnsi="Traditional Arabic" w:cs="Traditional Arabic" w:hint="cs"/>
          <w:b/>
          <w:bCs/>
          <w:sz w:val="32"/>
          <w:szCs w:val="32"/>
          <w:rtl/>
          <w:lang w:bidi="ar-DZ"/>
        </w:rPr>
        <w:t>فرانسوا غويار</w:t>
      </w:r>
      <w:r w:rsidR="00D706FC" w:rsidRPr="00895D8A">
        <w:rPr>
          <w:rFonts w:ascii="Traditional Arabic" w:hAnsi="Traditional Arabic" w:cs="Traditional Arabic" w:hint="cs"/>
          <w:sz w:val="32"/>
          <w:szCs w:val="32"/>
          <w:rtl/>
          <w:lang w:bidi="ar-DZ"/>
        </w:rPr>
        <w:t xml:space="preserve"> وخاصة مؤلفهما المعنون بـ "الأدب المقارن" وقد قامت المدرسة الفرنسية على مجموعة من الأسس وهي:</w:t>
      </w:r>
    </w:p>
    <w:p w:rsidR="00D706FC" w:rsidRPr="00895D8A" w:rsidRDefault="00D706FC" w:rsidP="00D706FC">
      <w:pPr>
        <w:bidi/>
        <w:spacing w:line="240" w:lineRule="auto"/>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u w:val="single"/>
          <w:rtl/>
          <w:lang w:bidi="ar-DZ"/>
        </w:rPr>
        <w:t xml:space="preserve">أ/ </w:t>
      </w:r>
      <w:r w:rsidRPr="00D706FC">
        <w:rPr>
          <w:rFonts w:ascii="Traditional Arabic" w:hAnsi="Traditional Arabic" w:cs="Traditional Arabic" w:hint="cs"/>
          <w:b/>
          <w:bCs/>
          <w:sz w:val="32"/>
          <w:szCs w:val="32"/>
          <w:u w:val="single"/>
          <w:rtl/>
          <w:lang w:bidi="ar-DZ"/>
        </w:rPr>
        <w:t>التأثير والتأثر</w:t>
      </w:r>
      <w:r w:rsidRPr="00895D8A">
        <w:rPr>
          <w:rFonts w:ascii="Traditional Arabic" w:hAnsi="Traditional Arabic" w:cs="Traditional Arabic" w:hint="cs"/>
          <w:sz w:val="32"/>
          <w:szCs w:val="32"/>
          <w:rtl/>
          <w:lang w:bidi="ar-DZ"/>
        </w:rPr>
        <w:t>: والمقصود بهذا المصطلح هو الاعتراف بوجود التبادلات الأدبية بين مختلف الآداب، ومن ثم إثبات وجود تأثير أديب ما من قومية معينة على أديب آخر من قومية أخرى، وهذا من خلال بحث واستقصاء المقارن لهذه التبادلات، كأن يحدد تأثير الأدب الفرنسي على الأدب الألماني وما أخذ أو استعار منه، ويفضي هذا البحث عادة إلى نتائج ذات طبيعة تاريخية.</w:t>
      </w:r>
    </w:p>
    <w:p w:rsidR="00D706FC" w:rsidRPr="00895D8A" w:rsidRDefault="00D706FC" w:rsidP="00D706FC">
      <w:pPr>
        <w:bidi/>
        <w:spacing w:line="240" w:lineRule="auto"/>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rtl/>
          <w:lang w:bidi="ar-DZ"/>
        </w:rPr>
        <w:t xml:space="preserve">ومن الأمثلة التي يمكن أن نقدمها تأثير الألماني </w:t>
      </w:r>
      <w:r w:rsidRPr="00D706FC">
        <w:rPr>
          <w:rFonts w:ascii="Traditional Arabic" w:hAnsi="Traditional Arabic" w:cs="Traditional Arabic" w:hint="cs"/>
          <w:b/>
          <w:bCs/>
          <w:sz w:val="32"/>
          <w:szCs w:val="32"/>
          <w:rtl/>
          <w:lang w:bidi="ar-DZ"/>
        </w:rPr>
        <w:t>يوهان ولفغانع غوته</w:t>
      </w:r>
      <w:r w:rsidRPr="00895D8A">
        <w:rPr>
          <w:rFonts w:ascii="Traditional Arabic" w:hAnsi="Traditional Arabic" w:cs="Traditional Arabic" w:hint="cs"/>
          <w:sz w:val="32"/>
          <w:szCs w:val="32"/>
          <w:rtl/>
          <w:lang w:bidi="ar-DZ"/>
        </w:rPr>
        <w:t xml:space="preserve"> على أدب</w:t>
      </w:r>
      <w:r w:rsidRPr="00D706FC">
        <w:rPr>
          <w:rFonts w:ascii="Traditional Arabic" w:hAnsi="Traditional Arabic" w:cs="Traditional Arabic" w:hint="cs"/>
          <w:b/>
          <w:bCs/>
          <w:sz w:val="32"/>
          <w:szCs w:val="32"/>
          <w:rtl/>
          <w:lang w:bidi="ar-DZ"/>
        </w:rPr>
        <w:t xml:space="preserve"> ليو تولستري </w:t>
      </w:r>
      <w:r w:rsidRPr="00895D8A">
        <w:rPr>
          <w:rFonts w:ascii="Traditional Arabic" w:hAnsi="Traditional Arabic" w:cs="Traditional Arabic" w:hint="cs"/>
          <w:sz w:val="32"/>
          <w:szCs w:val="32"/>
          <w:rtl/>
          <w:lang w:bidi="ar-DZ"/>
        </w:rPr>
        <w:t>الروسي، وعن هذا المو</w:t>
      </w:r>
      <w:r>
        <w:rPr>
          <w:rFonts w:ascii="Traditional Arabic" w:hAnsi="Traditional Arabic" w:cs="Traditional Arabic" w:hint="cs"/>
          <w:sz w:val="32"/>
          <w:szCs w:val="32"/>
          <w:rtl/>
          <w:lang w:bidi="ar-DZ"/>
        </w:rPr>
        <w:t xml:space="preserve">ضوع أصدر الروائي الألماني </w:t>
      </w:r>
      <w:r w:rsidRPr="00D706FC">
        <w:rPr>
          <w:rFonts w:ascii="Traditional Arabic" w:hAnsi="Traditional Arabic" w:cs="Traditional Arabic" w:hint="cs"/>
          <w:b/>
          <w:bCs/>
          <w:sz w:val="32"/>
          <w:szCs w:val="32"/>
          <w:rtl/>
          <w:lang w:bidi="ar-DZ"/>
        </w:rPr>
        <w:t>توماس مان</w:t>
      </w:r>
      <w:r w:rsidRPr="00895D8A">
        <w:rPr>
          <w:rFonts w:ascii="Traditional Arabic" w:hAnsi="Traditional Arabic" w:cs="Traditional Arabic" w:hint="cs"/>
          <w:sz w:val="32"/>
          <w:szCs w:val="32"/>
          <w:rtl/>
          <w:lang w:bidi="ar-DZ"/>
        </w:rPr>
        <w:t xml:space="preserve"> كتابا عنوانه (غوته و تولستري) سنة 1922، حيث قارن فيه بين الروائي الروسي </w:t>
      </w:r>
      <w:r w:rsidRPr="00D706FC">
        <w:rPr>
          <w:rFonts w:ascii="Traditional Arabic" w:hAnsi="Traditional Arabic" w:cs="Traditional Arabic" w:hint="cs"/>
          <w:b/>
          <w:bCs/>
          <w:sz w:val="32"/>
          <w:szCs w:val="32"/>
          <w:rtl/>
          <w:lang w:bidi="ar-DZ"/>
        </w:rPr>
        <w:t>تولستري</w:t>
      </w:r>
      <w:r w:rsidRPr="00895D8A">
        <w:rPr>
          <w:rFonts w:ascii="Traditional Arabic" w:hAnsi="Traditional Arabic" w:cs="Traditional Arabic" w:hint="cs"/>
          <w:sz w:val="32"/>
          <w:szCs w:val="32"/>
          <w:rtl/>
          <w:lang w:bidi="ar-DZ"/>
        </w:rPr>
        <w:t xml:space="preserve"> والشاعر الألماني </w:t>
      </w:r>
      <w:r w:rsidRPr="00D706FC">
        <w:rPr>
          <w:rFonts w:ascii="Traditional Arabic" w:hAnsi="Traditional Arabic" w:cs="Traditional Arabic" w:hint="cs"/>
          <w:b/>
          <w:bCs/>
          <w:sz w:val="32"/>
          <w:szCs w:val="32"/>
          <w:rtl/>
          <w:lang w:bidi="ar-DZ"/>
        </w:rPr>
        <w:t>غوته</w:t>
      </w:r>
      <w:r w:rsidRPr="00895D8A">
        <w:rPr>
          <w:rFonts w:ascii="Traditional Arabic" w:hAnsi="Traditional Arabic" w:cs="Traditional Arabic" w:hint="cs"/>
          <w:sz w:val="32"/>
          <w:szCs w:val="32"/>
          <w:rtl/>
          <w:lang w:bidi="ar-DZ"/>
        </w:rPr>
        <w:t>، واشترطت المدرسة الفرنسية أن لا ينتمي الأديبان إلى قومية واحدة واعتبرت ذلك بمثابة موازنة.</w:t>
      </w:r>
    </w:p>
    <w:p w:rsidR="00D706FC" w:rsidRPr="00895D8A" w:rsidRDefault="00D706FC" w:rsidP="002D5F90">
      <w:pPr>
        <w:bidi/>
        <w:spacing w:line="240" w:lineRule="auto"/>
        <w:jc w:val="both"/>
        <w:rPr>
          <w:rFonts w:ascii="Traditional Arabic" w:hAnsi="Traditional Arabic" w:cs="Traditional Arabic" w:hint="cs"/>
          <w:sz w:val="32"/>
          <w:szCs w:val="32"/>
          <w:rtl/>
          <w:lang w:bidi="ar-DZ"/>
        </w:rPr>
      </w:pPr>
      <w:r w:rsidRPr="002D5F90">
        <w:rPr>
          <w:rFonts w:ascii="Traditional Arabic" w:hAnsi="Traditional Arabic" w:cs="Traditional Arabic" w:hint="cs"/>
          <w:sz w:val="32"/>
          <w:szCs w:val="32"/>
          <w:u w:val="single"/>
          <w:rtl/>
          <w:lang w:bidi="ar-DZ"/>
        </w:rPr>
        <w:t>فمثلا لا تستقيم المقارنة</w:t>
      </w:r>
      <w:r w:rsidRPr="00895D8A">
        <w:rPr>
          <w:rFonts w:ascii="Traditional Arabic" w:hAnsi="Traditional Arabic" w:cs="Traditional Arabic" w:hint="cs"/>
          <w:sz w:val="32"/>
          <w:szCs w:val="32"/>
          <w:rtl/>
          <w:lang w:bidi="ar-DZ"/>
        </w:rPr>
        <w:t xml:space="preserve"> بين </w:t>
      </w:r>
      <w:r w:rsidRPr="002D5F90">
        <w:rPr>
          <w:rFonts w:ascii="Traditional Arabic" w:hAnsi="Traditional Arabic" w:cs="Traditional Arabic" w:hint="cs"/>
          <w:b/>
          <w:bCs/>
          <w:sz w:val="32"/>
          <w:szCs w:val="32"/>
          <w:rtl/>
          <w:lang w:bidi="ar-DZ"/>
        </w:rPr>
        <w:t>بشار بن برد</w:t>
      </w:r>
      <w:r w:rsidRPr="00895D8A">
        <w:rPr>
          <w:rFonts w:ascii="Traditional Arabic" w:hAnsi="Traditional Arabic" w:cs="Traditional Arabic" w:hint="cs"/>
          <w:sz w:val="32"/>
          <w:szCs w:val="32"/>
          <w:rtl/>
          <w:lang w:bidi="ar-DZ"/>
        </w:rPr>
        <w:t xml:space="preserve"> و</w:t>
      </w:r>
      <w:r w:rsidR="002D5F90">
        <w:rPr>
          <w:rFonts w:ascii="Traditional Arabic" w:hAnsi="Traditional Arabic" w:cs="Traditional Arabic" w:hint="cs"/>
          <w:sz w:val="32"/>
          <w:szCs w:val="32"/>
          <w:rtl/>
          <w:lang w:bidi="ar-DZ"/>
        </w:rPr>
        <w:t xml:space="preserve"> </w:t>
      </w:r>
      <w:r w:rsidRPr="002D5F90">
        <w:rPr>
          <w:rFonts w:ascii="Traditional Arabic" w:hAnsi="Traditional Arabic" w:cs="Traditional Arabic" w:hint="cs"/>
          <w:b/>
          <w:bCs/>
          <w:sz w:val="32"/>
          <w:szCs w:val="32"/>
          <w:rtl/>
          <w:lang w:bidi="ar-DZ"/>
        </w:rPr>
        <w:t>أبي العلاء المعري</w:t>
      </w:r>
      <w:r w:rsidRPr="00895D8A">
        <w:rPr>
          <w:rFonts w:ascii="Traditional Arabic" w:hAnsi="Traditional Arabic" w:cs="Traditional Arabic" w:hint="cs"/>
          <w:sz w:val="32"/>
          <w:szCs w:val="32"/>
          <w:rtl/>
          <w:lang w:bidi="ar-DZ"/>
        </w:rPr>
        <w:t xml:space="preserve"> لأنها لا تدخل ضمن اهتمامات الدراسة المقارنة، وإنما هي مجرد موازنة في الأدب العربي </w:t>
      </w:r>
      <w:r w:rsidR="002D5F90">
        <w:rPr>
          <w:rFonts w:ascii="Traditional Arabic" w:hAnsi="Traditional Arabic" w:cs="Traditional Arabic" w:hint="cs"/>
          <w:sz w:val="32"/>
          <w:szCs w:val="32"/>
          <w:rtl/>
          <w:lang w:bidi="ar-DZ"/>
        </w:rPr>
        <w:t xml:space="preserve">المكتوب </w:t>
      </w:r>
      <w:r w:rsidRPr="00895D8A">
        <w:rPr>
          <w:rFonts w:ascii="Traditional Arabic" w:hAnsi="Traditional Arabic" w:cs="Traditional Arabic" w:hint="cs"/>
          <w:sz w:val="32"/>
          <w:szCs w:val="32"/>
          <w:rtl/>
          <w:lang w:bidi="ar-DZ"/>
        </w:rPr>
        <w:t>في العصر العباسي ، أما إذا أجرينا مقارنة بين</w:t>
      </w:r>
      <w:r w:rsidRPr="00D706FC">
        <w:rPr>
          <w:rFonts w:ascii="Traditional Arabic" w:hAnsi="Traditional Arabic" w:cs="Traditional Arabic" w:hint="cs"/>
          <w:b/>
          <w:bCs/>
          <w:sz w:val="32"/>
          <w:szCs w:val="32"/>
          <w:rtl/>
          <w:lang w:bidi="ar-DZ"/>
        </w:rPr>
        <w:t xml:space="preserve"> المعري</w:t>
      </w:r>
      <w:r w:rsidRPr="00895D8A">
        <w:rPr>
          <w:rFonts w:ascii="Traditional Arabic" w:hAnsi="Traditional Arabic" w:cs="Traditional Arabic" w:hint="cs"/>
          <w:sz w:val="32"/>
          <w:szCs w:val="32"/>
          <w:rtl/>
          <w:lang w:bidi="ar-DZ"/>
        </w:rPr>
        <w:t xml:space="preserve"> من خلال رسالة الغفران</w:t>
      </w:r>
      <w:r w:rsidR="002D5F90">
        <w:rPr>
          <w:rFonts w:ascii="Traditional Arabic" w:hAnsi="Traditional Arabic" w:cs="Traditional Arabic" w:hint="cs"/>
          <w:sz w:val="32"/>
          <w:szCs w:val="32"/>
          <w:rtl/>
          <w:lang w:bidi="ar-DZ"/>
        </w:rPr>
        <w:t>،</w:t>
      </w:r>
      <w:r w:rsidRPr="00895D8A">
        <w:rPr>
          <w:rFonts w:ascii="Traditional Arabic" w:hAnsi="Traditional Arabic" w:cs="Traditional Arabic" w:hint="cs"/>
          <w:sz w:val="32"/>
          <w:szCs w:val="32"/>
          <w:rtl/>
          <w:lang w:bidi="ar-DZ"/>
        </w:rPr>
        <w:t xml:space="preserve"> والكوميديا الإلهية للشاعر الإيطالي </w:t>
      </w:r>
      <w:r w:rsidRPr="00D706FC">
        <w:rPr>
          <w:rFonts w:ascii="Traditional Arabic" w:hAnsi="Traditional Arabic" w:cs="Traditional Arabic" w:hint="cs"/>
          <w:b/>
          <w:bCs/>
          <w:sz w:val="32"/>
          <w:szCs w:val="32"/>
          <w:rtl/>
          <w:lang w:bidi="ar-DZ"/>
        </w:rPr>
        <w:t>دانتي أليجري</w:t>
      </w:r>
      <w:r w:rsidRPr="00895D8A">
        <w:rPr>
          <w:rFonts w:ascii="Traditional Arabic" w:hAnsi="Traditional Arabic" w:cs="Traditional Arabic" w:hint="cs"/>
          <w:sz w:val="32"/>
          <w:szCs w:val="32"/>
          <w:rtl/>
          <w:lang w:bidi="ar-DZ"/>
        </w:rPr>
        <w:t xml:space="preserve"> ف</w:t>
      </w:r>
      <w:r w:rsidR="002D5F90">
        <w:rPr>
          <w:rFonts w:ascii="Traditional Arabic" w:hAnsi="Traditional Arabic" w:cs="Traditional Arabic" w:hint="cs"/>
          <w:sz w:val="32"/>
          <w:szCs w:val="32"/>
          <w:rtl/>
          <w:lang w:bidi="ar-DZ"/>
        </w:rPr>
        <w:t>ه</w:t>
      </w:r>
      <w:r w:rsidRPr="00895D8A">
        <w:rPr>
          <w:rFonts w:ascii="Traditional Arabic" w:hAnsi="Traditional Arabic" w:cs="Traditional Arabic" w:hint="cs"/>
          <w:sz w:val="32"/>
          <w:szCs w:val="32"/>
          <w:rtl/>
          <w:lang w:bidi="ar-DZ"/>
        </w:rPr>
        <w:t>ي تدخل في صميم الدراسات الأدبية المقارنة التي تبحث في تأثير الأدب العربي في الأدب الإيطالي من خلال هذا النموذج.</w:t>
      </w:r>
    </w:p>
    <w:p w:rsidR="00D706FC" w:rsidRDefault="00D706FC" w:rsidP="00D706FC">
      <w:pPr>
        <w:bidi/>
        <w:spacing w:line="240" w:lineRule="auto"/>
        <w:jc w:val="both"/>
        <w:rPr>
          <w:rFonts w:ascii="Traditional Arabic" w:hAnsi="Traditional Arabic" w:cs="Traditional Arabic" w:hint="cs"/>
          <w:b/>
          <w:bCs/>
          <w:sz w:val="32"/>
          <w:szCs w:val="32"/>
          <w:u w:val="single"/>
          <w:rtl/>
          <w:lang w:bidi="ar-DZ"/>
        </w:rPr>
      </w:pPr>
    </w:p>
    <w:p w:rsidR="00D706FC" w:rsidRPr="00895D8A" w:rsidRDefault="00D706FC" w:rsidP="00D706FC">
      <w:pPr>
        <w:bidi/>
        <w:spacing w:line="240" w:lineRule="auto"/>
        <w:jc w:val="both"/>
        <w:rPr>
          <w:rFonts w:ascii="Traditional Arabic" w:hAnsi="Traditional Arabic" w:cs="Traditional Arabic" w:hint="cs"/>
          <w:sz w:val="32"/>
          <w:szCs w:val="32"/>
          <w:u w:val="single"/>
          <w:rtl/>
          <w:lang w:bidi="ar-DZ"/>
        </w:rPr>
      </w:pPr>
      <w:r w:rsidRPr="00895D8A">
        <w:rPr>
          <w:rFonts w:ascii="Traditional Arabic" w:hAnsi="Traditional Arabic" w:cs="Traditional Arabic" w:hint="cs"/>
          <w:b/>
          <w:bCs/>
          <w:sz w:val="32"/>
          <w:szCs w:val="32"/>
          <w:u w:val="single"/>
          <w:rtl/>
          <w:lang w:bidi="ar-DZ"/>
        </w:rPr>
        <w:lastRenderedPageBreak/>
        <w:t>ب/ النزعة التاريخية</w:t>
      </w:r>
      <w:r w:rsidRPr="00895D8A">
        <w:rPr>
          <w:rFonts w:ascii="Traditional Arabic" w:hAnsi="Traditional Arabic" w:cs="Traditional Arabic" w:hint="cs"/>
          <w:sz w:val="32"/>
          <w:szCs w:val="32"/>
          <w:u w:val="single"/>
          <w:rtl/>
          <w:lang w:bidi="ar-DZ"/>
        </w:rPr>
        <w:t xml:space="preserve">: </w:t>
      </w:r>
    </w:p>
    <w:p w:rsidR="00D706FC" w:rsidRPr="00895D8A" w:rsidRDefault="00D706FC" w:rsidP="00D706FC">
      <w:pPr>
        <w:bidi/>
        <w:spacing w:line="240" w:lineRule="auto"/>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rtl/>
          <w:lang w:bidi="ar-DZ"/>
        </w:rPr>
        <w:t>هي نزعة انتشرت على نطاق واسع في أوروبا وفرنسا على امتداد القرن 19، ويرى أصحاب هذه النزعة أن تاريخ الأدب هو تاريخ مصادره ومواضيعه ومواده الأدبية</w:t>
      </w:r>
      <w:r w:rsidR="002D5F90">
        <w:rPr>
          <w:rFonts w:ascii="Traditional Arabic" w:hAnsi="Traditional Arabic" w:cs="Traditional Arabic" w:hint="cs"/>
          <w:sz w:val="32"/>
          <w:szCs w:val="32"/>
          <w:rtl/>
          <w:lang w:bidi="ar-DZ"/>
        </w:rPr>
        <w:t>،</w:t>
      </w:r>
      <w:r w:rsidRPr="00895D8A">
        <w:rPr>
          <w:rFonts w:ascii="Traditional Arabic" w:hAnsi="Traditional Arabic" w:cs="Traditional Arabic" w:hint="cs"/>
          <w:sz w:val="32"/>
          <w:szCs w:val="32"/>
          <w:rtl/>
          <w:lang w:bidi="ar-DZ"/>
        </w:rPr>
        <w:t xml:space="preserve"> التي تنتقل داخل الأدب القومي</w:t>
      </w:r>
      <w:r w:rsidR="002D5F90">
        <w:rPr>
          <w:rFonts w:ascii="Traditional Arabic" w:hAnsi="Traditional Arabic" w:cs="Traditional Arabic" w:hint="cs"/>
          <w:sz w:val="32"/>
          <w:szCs w:val="32"/>
          <w:rtl/>
          <w:lang w:bidi="ar-DZ"/>
        </w:rPr>
        <w:t>،</w:t>
      </w:r>
      <w:r w:rsidRPr="00895D8A">
        <w:rPr>
          <w:rFonts w:ascii="Traditional Arabic" w:hAnsi="Traditional Arabic" w:cs="Traditional Arabic" w:hint="cs"/>
          <w:sz w:val="32"/>
          <w:szCs w:val="32"/>
          <w:rtl/>
          <w:lang w:bidi="ar-DZ"/>
        </w:rPr>
        <w:t xml:space="preserve"> وبين الآداب القومية بصورة يمكن دراستها وتتبعها بالوثائق والأدلة</w:t>
      </w:r>
      <w:r w:rsidR="002D5F90">
        <w:rPr>
          <w:rFonts w:ascii="Traditional Arabic" w:hAnsi="Traditional Arabic" w:cs="Traditional Arabic" w:hint="cs"/>
          <w:sz w:val="32"/>
          <w:szCs w:val="32"/>
          <w:rtl/>
          <w:lang w:bidi="ar-DZ"/>
        </w:rPr>
        <w:t>، كما أن ا</w:t>
      </w:r>
      <w:r w:rsidRPr="00895D8A">
        <w:rPr>
          <w:rFonts w:ascii="Traditional Arabic" w:hAnsi="Traditional Arabic" w:cs="Traditional Arabic" w:hint="cs"/>
          <w:sz w:val="32"/>
          <w:szCs w:val="32"/>
          <w:rtl/>
          <w:lang w:bidi="ar-DZ"/>
        </w:rPr>
        <w:t>لدراسة المقارنة لتلك الآداب تدل على وجود علاقات تأثير وتأثر بينهما على أساس السببية الصارمة، فانتقال مادة أدبية من أدب إلى أدب آخر ليس انتقالا عشوائيا</w:t>
      </w:r>
      <w:r w:rsidR="002D5F90">
        <w:rPr>
          <w:rFonts w:ascii="Traditional Arabic" w:hAnsi="Traditional Arabic" w:cs="Traditional Arabic" w:hint="cs"/>
          <w:sz w:val="32"/>
          <w:szCs w:val="32"/>
          <w:rtl/>
          <w:lang w:bidi="ar-DZ"/>
        </w:rPr>
        <w:t>،</w:t>
      </w:r>
      <w:r w:rsidRPr="00895D8A">
        <w:rPr>
          <w:rFonts w:ascii="Traditional Arabic" w:hAnsi="Traditional Arabic" w:cs="Traditional Arabic" w:hint="cs"/>
          <w:sz w:val="32"/>
          <w:szCs w:val="32"/>
          <w:rtl/>
          <w:lang w:bidi="ar-DZ"/>
        </w:rPr>
        <w:t xml:space="preserve"> بل هو علاقة تاريخية قائمة على السببية، وعلى الأدب المقارن أن يبرهن على هذا بصورة لا تقبل الجدال</w:t>
      </w:r>
      <w:r w:rsidR="002D5F90">
        <w:rPr>
          <w:rFonts w:ascii="Traditional Arabic" w:hAnsi="Traditional Arabic" w:cs="Traditional Arabic" w:hint="cs"/>
          <w:sz w:val="32"/>
          <w:szCs w:val="32"/>
          <w:rtl/>
          <w:lang w:bidi="ar-DZ"/>
        </w:rPr>
        <w:t>،</w:t>
      </w:r>
      <w:r w:rsidRPr="00895D8A">
        <w:rPr>
          <w:rFonts w:ascii="Traditional Arabic" w:hAnsi="Traditional Arabic" w:cs="Traditional Arabic" w:hint="cs"/>
          <w:sz w:val="32"/>
          <w:szCs w:val="32"/>
          <w:rtl/>
          <w:lang w:bidi="ar-DZ"/>
        </w:rPr>
        <w:t xml:space="preserve"> أي أن يبين مصدر التأثير وواسطته التاريخية.</w:t>
      </w:r>
    </w:p>
    <w:p w:rsidR="00D706FC" w:rsidRPr="00895D8A" w:rsidRDefault="00D706FC" w:rsidP="00D706FC">
      <w:pPr>
        <w:bidi/>
        <w:spacing w:line="240" w:lineRule="auto"/>
        <w:jc w:val="both"/>
        <w:rPr>
          <w:rFonts w:ascii="Traditional Arabic" w:hAnsi="Traditional Arabic" w:cs="Traditional Arabic" w:hint="cs"/>
          <w:b/>
          <w:bCs/>
          <w:sz w:val="32"/>
          <w:szCs w:val="32"/>
          <w:rtl/>
          <w:lang w:bidi="ar-DZ"/>
        </w:rPr>
      </w:pPr>
      <w:r w:rsidRPr="00895D8A">
        <w:rPr>
          <w:rFonts w:ascii="Traditional Arabic" w:hAnsi="Traditional Arabic" w:cs="Traditional Arabic" w:hint="cs"/>
          <w:b/>
          <w:bCs/>
          <w:sz w:val="32"/>
          <w:szCs w:val="32"/>
          <w:u w:val="single"/>
          <w:rtl/>
          <w:lang w:bidi="ar-DZ"/>
        </w:rPr>
        <w:t>ج/ النزعة الوضعية</w:t>
      </w:r>
      <w:r w:rsidRPr="00895D8A">
        <w:rPr>
          <w:rFonts w:ascii="Traditional Arabic" w:hAnsi="Traditional Arabic" w:cs="Traditional Arabic" w:hint="cs"/>
          <w:b/>
          <w:bCs/>
          <w:sz w:val="32"/>
          <w:szCs w:val="32"/>
          <w:rtl/>
          <w:lang w:bidi="ar-DZ"/>
        </w:rPr>
        <w:t>:</w:t>
      </w:r>
    </w:p>
    <w:p w:rsidR="00D706FC" w:rsidRPr="00895D8A" w:rsidRDefault="00D706FC" w:rsidP="00D706FC">
      <w:pPr>
        <w:bidi/>
        <w:spacing w:line="240" w:lineRule="auto"/>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rtl/>
          <w:lang w:bidi="ar-DZ"/>
        </w:rPr>
        <w:t xml:space="preserve">تقول الفلسفة الوضعية أن المعرفة الصحيحة هي التي تستند إلى قاعدة تجريبية قابلة للمراجعة بصورة عبر ذاتية، أما المعرفة التي تقوم على التخمين والحدس والتفكير والمقارنة فقط فهي معرفة غير موثوقة ولا يعتد بها.              </w:t>
      </w:r>
    </w:p>
    <w:p w:rsidR="00D706FC" w:rsidRPr="00895D8A" w:rsidRDefault="00D706FC" w:rsidP="00D706FC">
      <w:pPr>
        <w:bidi/>
        <w:spacing w:line="240" w:lineRule="auto"/>
        <w:ind w:firstLine="708"/>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rtl/>
          <w:lang w:bidi="ar-DZ"/>
        </w:rPr>
        <w:t xml:space="preserve"> انتقلت هذه النزعة إلى الدراسات الأدبية فدعا أنصارها الذين كان من أبرزهم الناقدان الفرنسيان سانت بوف، وهيبوليت تين إلى تحويل نلك الدراسات إلى علم موضوعي يقوم على أساس تجريبي تماما كالعلوم الأخرى، وقد دعت المدرسة الفرنسية التقليدية إلى اعتماد المنهج التجريبي في دراسات التأثير والتأثر وهذا بعدم الاكتفاء بتخمين وجود التأثير بل البرهنة على وجوده بالأدلة والوثائق.</w:t>
      </w:r>
    </w:p>
    <w:p w:rsidR="00D706FC" w:rsidRPr="00895D8A" w:rsidRDefault="00D706FC" w:rsidP="00D706FC">
      <w:pPr>
        <w:bidi/>
        <w:spacing w:line="240" w:lineRule="auto"/>
        <w:ind w:firstLine="708"/>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rtl/>
          <w:lang w:bidi="ar-DZ"/>
        </w:rPr>
        <w:t xml:space="preserve"> أسهم هذا النوع من الدراسات في سد الفجوات في تاريخ الآداب القومية الناتجة عن حصر الآداب داخل حدود القومية، مغفلا الامتدادات والأبعاد الخارجية التي تتجاوز الحدود اللغوية القومية للآداب</w:t>
      </w:r>
      <w:r w:rsidR="002D5F90">
        <w:rPr>
          <w:rFonts w:ascii="Traditional Arabic" w:hAnsi="Traditional Arabic" w:cs="Traditional Arabic" w:hint="cs"/>
          <w:sz w:val="32"/>
          <w:szCs w:val="32"/>
          <w:rtl/>
          <w:lang w:bidi="ar-DZ"/>
        </w:rPr>
        <w:t>،</w:t>
      </w:r>
      <w:r w:rsidRPr="00895D8A">
        <w:rPr>
          <w:rFonts w:ascii="Traditional Arabic" w:hAnsi="Traditional Arabic" w:cs="Traditional Arabic" w:hint="cs"/>
          <w:sz w:val="32"/>
          <w:szCs w:val="32"/>
          <w:rtl/>
          <w:lang w:bidi="ar-DZ"/>
        </w:rPr>
        <w:t xml:space="preserve"> والبحث عن العلاقات بين مختلف الآداب، وقد فندت دراسات التأثير فكرة أصالة أو تفرد أو خصوصية أو عبقرية الأدب القومي، كما بينت أن الآداب في حالة تفاعل وتبادل وأخذ وعطاء واستيراد وتصدير، كما أسهمت دراسات التأثير التي ابتكرها وطورها ورعاها النقد الفرنسي في إظهار ضخامة التأثير الذي مارسه الأدب الفرنسي على الآداب الأخرى، وبالتالي فقد خدمت مثل هذه الدراسات نزعة التعالي الثقافي الفرنسي، وهي نزعة قومية توسعية، شكلت في الماضي مقوما من مقومات الإيديولوجية الاستعمارية الأوروبية، وهي تشكل اليوم الأساس الفكري والثقافي لما يعرف بالفرانكفونية. </w:t>
      </w:r>
    </w:p>
    <w:p w:rsidR="00D706FC" w:rsidRPr="00895D8A" w:rsidRDefault="00D706FC" w:rsidP="00D706FC">
      <w:pPr>
        <w:bidi/>
        <w:spacing w:line="240" w:lineRule="auto"/>
        <w:ind w:firstLine="708"/>
        <w:jc w:val="both"/>
        <w:rPr>
          <w:rFonts w:ascii="Traditional Arabic" w:hAnsi="Traditional Arabic" w:cs="Traditional Arabic" w:hint="cs"/>
          <w:b/>
          <w:bCs/>
          <w:sz w:val="32"/>
          <w:szCs w:val="32"/>
          <w:u w:val="single"/>
          <w:rtl/>
          <w:lang w:bidi="ar-DZ"/>
        </w:rPr>
      </w:pPr>
      <w:r w:rsidRPr="00895D8A">
        <w:rPr>
          <w:rFonts w:ascii="Traditional Arabic" w:hAnsi="Traditional Arabic" w:cs="Traditional Arabic" w:hint="cs"/>
          <w:b/>
          <w:bCs/>
          <w:sz w:val="32"/>
          <w:szCs w:val="32"/>
          <w:u w:val="single"/>
          <w:rtl/>
          <w:lang w:bidi="ar-DZ"/>
        </w:rPr>
        <w:t xml:space="preserve">د/ وسائل التأثير: </w:t>
      </w:r>
    </w:p>
    <w:p w:rsidR="00D706FC" w:rsidRPr="00895D8A" w:rsidRDefault="00D706FC" w:rsidP="00D706FC">
      <w:pPr>
        <w:bidi/>
        <w:spacing w:line="240" w:lineRule="auto"/>
        <w:ind w:firstLine="708"/>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rtl/>
          <w:lang w:bidi="ar-DZ"/>
        </w:rPr>
        <w:t xml:space="preserve">يتم التأثير عن طريق مجموعة من العوامل فقد يكون عن طريق الاطلاع المباشر على نص أجنبي، أو من خلال التعرف عليه مترجما أو عن طريق الرحلات والبعثات العلمية أو الهجرات أو عن طريق النقد الأدبي، ةتحتاج </w:t>
      </w:r>
      <w:r w:rsidRPr="00895D8A">
        <w:rPr>
          <w:rFonts w:ascii="Traditional Arabic" w:hAnsi="Traditional Arabic" w:cs="Traditional Arabic" w:hint="cs"/>
          <w:sz w:val="32"/>
          <w:szCs w:val="32"/>
          <w:rtl/>
          <w:lang w:bidi="ar-DZ"/>
        </w:rPr>
        <w:lastRenderedPageBreak/>
        <w:t>عملية التأثر إلى جهة مرسلة (الكاتب) وهو الذي يؤثر، ووسيلة نقل، حيث تلعب هنا الترجمة والنقد الأدبي وجهة مستقبلية لما قد يعرف بالأدب المتأثر.</w:t>
      </w:r>
    </w:p>
    <w:p w:rsidR="00D706FC" w:rsidRPr="00895D8A" w:rsidRDefault="00D706FC" w:rsidP="00D706FC">
      <w:pPr>
        <w:bidi/>
        <w:spacing w:line="240" w:lineRule="auto"/>
        <w:ind w:firstLine="708"/>
        <w:jc w:val="both"/>
        <w:rPr>
          <w:rFonts w:ascii="Traditional Arabic" w:hAnsi="Traditional Arabic" w:cs="Traditional Arabic" w:hint="cs"/>
          <w:b/>
          <w:bCs/>
          <w:sz w:val="32"/>
          <w:szCs w:val="32"/>
          <w:rtl/>
          <w:lang w:bidi="ar-DZ"/>
        </w:rPr>
      </w:pPr>
      <w:r w:rsidRPr="00895D8A">
        <w:rPr>
          <w:rFonts w:ascii="Traditional Arabic" w:hAnsi="Traditional Arabic" w:cs="Traditional Arabic" w:hint="cs"/>
          <w:b/>
          <w:bCs/>
          <w:i/>
          <w:iCs/>
          <w:sz w:val="32"/>
          <w:szCs w:val="32"/>
          <w:u w:val="single"/>
          <w:rtl/>
          <w:lang w:bidi="ar-DZ"/>
        </w:rPr>
        <w:t>النقد الموجه للمدرسة الفرنسية</w:t>
      </w:r>
      <w:r w:rsidRPr="00895D8A">
        <w:rPr>
          <w:rFonts w:ascii="Traditional Arabic" w:hAnsi="Traditional Arabic" w:cs="Traditional Arabic" w:hint="cs"/>
          <w:b/>
          <w:bCs/>
          <w:sz w:val="32"/>
          <w:szCs w:val="32"/>
          <w:rtl/>
          <w:lang w:bidi="ar-DZ"/>
        </w:rPr>
        <w:t>:</w:t>
      </w:r>
    </w:p>
    <w:p w:rsidR="00D706FC" w:rsidRPr="00895D8A" w:rsidRDefault="00D706FC" w:rsidP="00D706FC">
      <w:pPr>
        <w:bidi/>
        <w:spacing w:line="240" w:lineRule="auto"/>
        <w:ind w:firstLine="708"/>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rtl/>
          <w:lang w:bidi="ar-DZ"/>
        </w:rPr>
        <w:t>أظهرت المدرسة الفرنسية  الكثير من الضعف التطبيقي نظرا لشروطها الصارمة في اجراء المقارنات الأدبية وهو ضعف طبيعي لمدرسة زضعت أولى اللبنات لحقل دراسي مستجد وهو ما فتح المجال لتطور الدراسات المقارنة، لكنها في نظر البعض عززت النزعة المركزية و التفوق لدى الأوروبيين، وكان في مقدمة من انتقدها (رونيه إيتيامبل) الذي اعتبر أن حدود الإنسانية لا تنتهي عند حدود أوروبا وأن الأدب العالمي لا ولن يتطابق مع الأدب الأوروبي ولا يقتصر عليه لذلك يجب الحذر من المركزية القومية للأدب المقارن .</w:t>
      </w:r>
    </w:p>
    <w:p w:rsidR="00D706FC" w:rsidRPr="00895D8A" w:rsidRDefault="00D706FC" w:rsidP="00D706FC">
      <w:pPr>
        <w:bidi/>
        <w:spacing w:line="240" w:lineRule="auto"/>
        <w:ind w:firstLine="708"/>
        <w:jc w:val="both"/>
        <w:rPr>
          <w:rFonts w:ascii="Traditional Arabic" w:hAnsi="Traditional Arabic" w:cs="Traditional Arabic" w:hint="cs"/>
          <w:sz w:val="32"/>
          <w:szCs w:val="32"/>
          <w:rtl/>
          <w:lang w:bidi="ar-DZ"/>
        </w:rPr>
      </w:pPr>
      <w:r w:rsidRPr="00895D8A">
        <w:rPr>
          <w:rFonts w:ascii="Traditional Arabic" w:hAnsi="Traditional Arabic" w:cs="Traditional Arabic" w:hint="cs"/>
          <w:sz w:val="32"/>
          <w:szCs w:val="32"/>
          <w:rtl/>
          <w:lang w:bidi="ar-DZ"/>
        </w:rPr>
        <w:t>كما وجهت انتقادات أخرى نلخصها فيما يأتي:</w:t>
      </w:r>
    </w:p>
    <w:p w:rsidR="00D706FC" w:rsidRPr="00895D8A" w:rsidRDefault="00D706FC" w:rsidP="00D706FC">
      <w:pPr>
        <w:pStyle w:val="Paragraphedeliste"/>
        <w:numPr>
          <w:ilvl w:val="0"/>
          <w:numId w:val="1"/>
        </w:numPr>
        <w:bidi/>
        <w:spacing w:line="240" w:lineRule="auto"/>
        <w:jc w:val="both"/>
        <w:rPr>
          <w:rFonts w:ascii="Traditional Arabic" w:hAnsi="Traditional Arabic" w:cs="Traditional Arabic" w:hint="cs"/>
          <w:sz w:val="32"/>
          <w:szCs w:val="32"/>
          <w:lang w:bidi="ar-DZ"/>
        </w:rPr>
      </w:pPr>
      <w:r w:rsidRPr="00895D8A">
        <w:rPr>
          <w:rFonts w:ascii="Traditional Arabic" w:hAnsi="Traditional Arabic" w:cs="Traditional Arabic" w:hint="cs"/>
          <w:sz w:val="32"/>
          <w:szCs w:val="32"/>
          <w:rtl/>
          <w:lang w:bidi="ar-DZ"/>
        </w:rPr>
        <w:t>تحويل دراسات التأثير والتأثر إلى عملية مسك الدفاتر لنشاطات الاستيراد والتصدير (على حد قول ويليك) وسيكون التصدير أفضل من الاستيراد، وهكذا سيكون الطرف المصدر هو الأفضل والأقوى.</w:t>
      </w:r>
    </w:p>
    <w:p w:rsidR="00D706FC" w:rsidRPr="00895D8A" w:rsidRDefault="00D706FC" w:rsidP="00D706FC">
      <w:pPr>
        <w:pStyle w:val="Paragraphedeliste"/>
        <w:numPr>
          <w:ilvl w:val="0"/>
          <w:numId w:val="1"/>
        </w:numPr>
        <w:bidi/>
        <w:spacing w:line="240" w:lineRule="auto"/>
        <w:jc w:val="both"/>
        <w:rPr>
          <w:rFonts w:ascii="Traditional Arabic" w:hAnsi="Traditional Arabic" w:cs="Traditional Arabic" w:hint="cs"/>
          <w:sz w:val="32"/>
          <w:szCs w:val="32"/>
          <w:lang w:bidi="ar-DZ"/>
        </w:rPr>
      </w:pPr>
      <w:r w:rsidRPr="00895D8A">
        <w:rPr>
          <w:rFonts w:ascii="Traditional Arabic" w:hAnsi="Traditional Arabic" w:cs="Traditional Arabic" w:hint="cs"/>
          <w:sz w:val="32"/>
          <w:szCs w:val="32"/>
          <w:rtl/>
          <w:lang w:bidi="ar-DZ"/>
        </w:rPr>
        <w:t xml:space="preserve">اتضح أن كتابة تاريخ الأدب القومي تنطوي على إشكالية كبيرة، حيث قد نجد الأدب عند قوميات مختلفة بلغة واحدة مثل الأدب الموجود في بريطانيا والولايات المتحدة الأمريكية وهنا نتساءل هل هذا </w:t>
      </w:r>
      <w:r>
        <w:rPr>
          <w:rFonts w:ascii="Traditional Arabic" w:hAnsi="Traditional Arabic" w:cs="Traditional Arabic" w:hint="cs"/>
          <w:sz w:val="32"/>
          <w:szCs w:val="32"/>
          <w:rtl/>
          <w:lang w:bidi="ar-DZ"/>
        </w:rPr>
        <w:t>تشكل هذه الآ</w:t>
      </w:r>
      <w:r w:rsidRPr="00895D8A">
        <w:rPr>
          <w:rFonts w:ascii="Traditional Arabic" w:hAnsi="Traditional Arabic" w:cs="Traditional Arabic" w:hint="cs"/>
          <w:sz w:val="32"/>
          <w:szCs w:val="32"/>
          <w:rtl/>
          <w:lang w:bidi="ar-DZ"/>
        </w:rPr>
        <w:t>د</w:t>
      </w:r>
      <w:r>
        <w:rPr>
          <w:rFonts w:ascii="Traditional Arabic" w:hAnsi="Traditional Arabic" w:cs="Traditional Arabic" w:hint="cs"/>
          <w:sz w:val="32"/>
          <w:szCs w:val="32"/>
          <w:rtl/>
          <w:lang w:bidi="ar-DZ"/>
        </w:rPr>
        <w:t>اب أدبا قوميا واحدا</w:t>
      </w:r>
      <w:r w:rsidRPr="00895D8A">
        <w:rPr>
          <w:rFonts w:ascii="Traditional Arabic" w:hAnsi="Traditional Arabic" w:cs="Traditional Arabic" w:hint="cs"/>
          <w:sz w:val="32"/>
          <w:szCs w:val="32"/>
          <w:rtl/>
          <w:lang w:bidi="ar-DZ"/>
        </w:rPr>
        <w:t>؟</w:t>
      </w:r>
    </w:p>
    <w:p w:rsidR="00D706FC" w:rsidRPr="00895D8A" w:rsidRDefault="00D706FC" w:rsidP="00D706FC">
      <w:pPr>
        <w:pStyle w:val="Paragraphedeliste"/>
        <w:numPr>
          <w:ilvl w:val="0"/>
          <w:numId w:val="1"/>
        </w:numPr>
        <w:bidi/>
        <w:spacing w:line="240" w:lineRule="auto"/>
        <w:jc w:val="both"/>
        <w:rPr>
          <w:rFonts w:ascii="Traditional Arabic" w:hAnsi="Traditional Arabic" w:cs="Traditional Arabic"/>
          <w:sz w:val="32"/>
          <w:szCs w:val="32"/>
          <w:lang w:bidi="ar-DZ"/>
        </w:rPr>
      </w:pPr>
      <w:r w:rsidRPr="00895D8A">
        <w:rPr>
          <w:rFonts w:ascii="Traditional Arabic" w:hAnsi="Traditional Arabic" w:cs="Traditional Arabic" w:hint="cs"/>
          <w:sz w:val="32"/>
          <w:szCs w:val="32"/>
          <w:rtl/>
          <w:lang w:bidi="ar-DZ"/>
        </w:rPr>
        <w:t xml:space="preserve">إن الأدب القائم على التأثير والتأثر لا يركز على الأبعاد الجمالية والذوقية وهكذا وضع حاجزا بين الجوانب التاريخية والجوانب الجمالية لدراسة الأدب.       </w:t>
      </w:r>
    </w:p>
    <w:p w:rsidR="00C40E1F" w:rsidRDefault="00C40E1F" w:rsidP="00D706FC">
      <w:pPr>
        <w:spacing w:line="240" w:lineRule="auto"/>
        <w:jc w:val="both"/>
      </w:pPr>
    </w:p>
    <w:sectPr w:rsidR="00C40E1F" w:rsidSect="00D706FC">
      <w:headerReference w:type="even" r:id="rId8"/>
      <w:headerReference w:type="default" r:id="rId9"/>
      <w:headerReference w:type="first" r:id="rId10"/>
      <w:pgSz w:w="11906" w:h="16838"/>
      <w:pgMar w:top="1417" w:right="1417" w:bottom="1417" w:left="1417"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E01" w:rsidRDefault="003C4E01" w:rsidP="00D706FC">
      <w:pPr>
        <w:spacing w:after="0" w:line="240" w:lineRule="auto"/>
      </w:pPr>
      <w:r>
        <w:separator/>
      </w:r>
    </w:p>
  </w:endnote>
  <w:endnote w:type="continuationSeparator" w:id="1">
    <w:p w:rsidR="003C4E01" w:rsidRDefault="003C4E01" w:rsidP="00D70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E01" w:rsidRDefault="003C4E01" w:rsidP="00D706FC">
      <w:pPr>
        <w:spacing w:after="0" w:line="240" w:lineRule="auto"/>
      </w:pPr>
      <w:r>
        <w:separator/>
      </w:r>
    </w:p>
  </w:footnote>
  <w:footnote w:type="continuationSeparator" w:id="1">
    <w:p w:rsidR="003C4E01" w:rsidRDefault="003C4E01" w:rsidP="00D706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74619"/>
      <w:docPartObj>
        <w:docPartGallery w:val="Page Numbers (Top of Page)"/>
        <w:docPartUnique/>
      </w:docPartObj>
    </w:sdtPr>
    <w:sdtEndPr>
      <w:rPr>
        <w:rtl w:val="0"/>
      </w:rPr>
    </w:sdtEndPr>
    <w:sdtContent>
      <w:p w:rsidR="00D706FC" w:rsidRPr="0052190F" w:rsidRDefault="00D706FC" w:rsidP="00D706FC">
        <w:pPr>
          <w:pStyle w:val="En-tte"/>
          <w:bidi/>
          <w:rPr>
            <w:rFonts w:ascii="Andalus" w:hAnsi="Andalus" w:cs="Andalus"/>
            <w:sz w:val="24"/>
            <w:szCs w:val="24"/>
            <w:rtl/>
            <w:lang w:bidi="ar-DZ"/>
          </w:rPr>
        </w:pPr>
        <w:r>
          <w:rPr>
            <w:noProof/>
            <w:lang w:eastAsia="zh-TW"/>
          </w:rPr>
          <w:pict>
            <v:oval id="_x0000_s2051" style="position:absolute;left:0;text-align:left;margin-left:0;margin-top:0;width:49.35pt;height:49.35pt;z-index:251662336;mso-position-horizontal:center;mso-position-horizontal-relative:margin;mso-position-vertical:center;mso-position-vertical-relative:top-margin-area;v-text-anchor:middle" o:allowincell="f" fillcolor="#365f91 [2404]" stroked="f">
              <v:textbox style="mso-next-textbox:#_x0000_s2051">
                <w:txbxContent>
                  <w:p w:rsidR="00D706FC" w:rsidRDefault="00D706FC">
                    <w:pPr>
                      <w:pStyle w:val="Pieddepage"/>
                      <w:jc w:val="center"/>
                      <w:rPr>
                        <w:b/>
                        <w:color w:val="FFFFFF" w:themeColor="background1"/>
                        <w:sz w:val="32"/>
                        <w:szCs w:val="32"/>
                      </w:rPr>
                    </w:pPr>
                    <w:fldSimple w:instr=" PAGE    \* MERGEFORMAT ">
                      <w:r w:rsidR="002D5F90" w:rsidRPr="002D5F90">
                        <w:rPr>
                          <w:b/>
                          <w:noProof/>
                          <w:color w:val="FFFFFF" w:themeColor="background1"/>
                          <w:sz w:val="32"/>
                          <w:szCs w:val="32"/>
                        </w:rPr>
                        <w:t>2</w:t>
                      </w:r>
                    </w:fldSimple>
                  </w:p>
                </w:txbxContent>
              </v:textbox>
              <w10:wrap anchorx="margin" anchory="margin"/>
            </v:oval>
          </w:pict>
        </w:r>
        <w:r w:rsidRPr="0052190F">
          <w:rPr>
            <w:rFonts w:ascii="Andalus" w:hAnsi="Andalus" w:cs="Andalus"/>
            <w:sz w:val="24"/>
            <w:szCs w:val="24"/>
            <w:rtl/>
            <w:lang w:bidi="ar-DZ"/>
          </w:rPr>
          <w:t>محاضرات مقياس الأدب المقار</w:t>
        </w:r>
        <w:r w:rsidRPr="0052190F">
          <w:rPr>
            <w:rFonts w:ascii="Andalus" w:hAnsi="Andalus" w:cs="Andalus" w:hint="cs"/>
            <w:sz w:val="24"/>
            <w:szCs w:val="24"/>
            <w:rtl/>
            <w:lang w:bidi="ar-DZ"/>
          </w:rPr>
          <w:t>ن(</w:t>
        </w:r>
        <w:r w:rsidRPr="0052190F">
          <w:rPr>
            <w:rFonts w:ascii="Andalus" w:hAnsi="Andalus" w:cs="Andalus"/>
            <w:sz w:val="24"/>
            <w:szCs w:val="24"/>
            <w:rtl/>
            <w:lang w:bidi="ar-DZ"/>
          </w:rPr>
          <w:t xml:space="preserve"> سنة2 ل المج2</w:t>
        </w:r>
        <w:r>
          <w:rPr>
            <w:rFonts w:ascii="Andalus" w:hAnsi="Andalus" w:cs="Andalus" w:hint="cs"/>
            <w:sz w:val="24"/>
            <w:szCs w:val="24"/>
            <w:rtl/>
            <w:lang w:bidi="ar-DZ"/>
          </w:rPr>
          <w:t>)</w:t>
        </w:r>
        <w:r>
          <w:rPr>
            <w:rFonts w:hint="cs"/>
            <w:rtl/>
          </w:rPr>
          <w:t xml:space="preserve">                           </w:t>
        </w:r>
        <w:r>
          <w:rPr>
            <w:rFonts w:ascii="Andalus" w:hAnsi="Andalus" w:cs="Andalus" w:hint="cs"/>
            <w:sz w:val="24"/>
            <w:szCs w:val="24"/>
            <w:rtl/>
            <w:lang w:bidi="ar-DZ"/>
          </w:rPr>
          <w:t>ال</w:t>
        </w:r>
        <w:r w:rsidRPr="0052190F">
          <w:rPr>
            <w:rFonts w:ascii="Andalus" w:hAnsi="Andalus" w:cs="Andalus"/>
            <w:sz w:val="24"/>
            <w:szCs w:val="24"/>
            <w:rtl/>
            <w:lang w:bidi="ar-DZ"/>
          </w:rPr>
          <w:t>أ</w:t>
        </w:r>
        <w:r>
          <w:rPr>
            <w:rFonts w:ascii="Andalus" w:hAnsi="Andalus" w:cs="Andalus" w:hint="cs"/>
            <w:sz w:val="24"/>
            <w:szCs w:val="24"/>
            <w:rtl/>
            <w:lang w:bidi="ar-DZ"/>
          </w:rPr>
          <w:t>ستاذ</w:t>
        </w:r>
        <w:r w:rsidRPr="0052190F">
          <w:rPr>
            <w:rFonts w:ascii="Andalus" w:hAnsi="Andalus" w:cs="Andalus"/>
            <w:sz w:val="24"/>
            <w:szCs w:val="24"/>
            <w:rtl/>
            <w:lang w:bidi="ar-DZ"/>
          </w:rPr>
          <w:t>/ حسين بوسوف</w:t>
        </w:r>
        <w:r w:rsidRPr="0052190F">
          <w:rPr>
            <w:rFonts w:ascii="Andalus" w:hAnsi="Andalus" w:cs="Andalus" w:hint="cs"/>
            <w:sz w:val="24"/>
            <w:szCs w:val="24"/>
            <w:rtl/>
            <w:lang w:bidi="ar-DZ"/>
          </w:rPr>
          <w:t>ة</w:t>
        </w:r>
        <w:r>
          <w:rPr>
            <w:rFonts w:ascii="Andalus" w:hAnsi="Andalus" w:cs="Andalus" w:hint="cs"/>
            <w:sz w:val="24"/>
            <w:szCs w:val="24"/>
            <w:rtl/>
            <w:lang w:bidi="ar-DZ"/>
          </w:rPr>
          <w:t>/جامعة عبد الرحمن ميرة/بجاية.</w:t>
        </w:r>
      </w:p>
      <w:p w:rsidR="00D706FC" w:rsidRDefault="00D706FC">
        <w:pPr>
          <w:pStyle w:val="En-tte"/>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74620"/>
      <w:docPartObj>
        <w:docPartGallery w:val="Page Numbers (Top of Page)"/>
        <w:docPartUnique/>
      </w:docPartObj>
    </w:sdtPr>
    <w:sdtEndPr>
      <w:rPr>
        <w:rtl w:val="0"/>
      </w:rPr>
    </w:sdtEndPr>
    <w:sdtContent>
      <w:p w:rsidR="00D706FC" w:rsidRPr="0052190F" w:rsidRDefault="00D706FC" w:rsidP="00D706FC">
        <w:pPr>
          <w:pStyle w:val="En-tte"/>
          <w:bidi/>
          <w:rPr>
            <w:rFonts w:ascii="Andalus" w:hAnsi="Andalus" w:cs="Andalus"/>
            <w:sz w:val="24"/>
            <w:szCs w:val="24"/>
            <w:rtl/>
            <w:lang w:bidi="ar-DZ"/>
          </w:rPr>
        </w:pPr>
        <w:r>
          <w:rPr>
            <w:noProof/>
            <w:lang w:eastAsia="zh-TW"/>
          </w:rPr>
          <w:pict>
            <v:oval id="_x0000_s2052" style="position:absolute;left:0;text-align:left;margin-left:0;margin-top:0;width:49.35pt;height:49.35pt;z-index:251664384;mso-position-horizontal:center;mso-position-horizontal-relative:margin;mso-position-vertical:center;mso-position-vertical-relative:top-margin-area;v-text-anchor:middle" o:allowincell="f" fillcolor="#365f91 [2404]" stroked="f">
              <v:textbox style="mso-next-textbox:#_x0000_s2052">
                <w:txbxContent>
                  <w:p w:rsidR="00D706FC" w:rsidRDefault="00D706FC">
                    <w:pPr>
                      <w:pStyle w:val="Pieddepage"/>
                      <w:jc w:val="center"/>
                      <w:rPr>
                        <w:b/>
                        <w:color w:val="FFFFFF" w:themeColor="background1"/>
                        <w:sz w:val="32"/>
                        <w:szCs w:val="32"/>
                      </w:rPr>
                    </w:pPr>
                    <w:fldSimple w:instr=" PAGE    \* MERGEFORMAT ">
                      <w:r w:rsidR="002D5F90" w:rsidRPr="002D5F90">
                        <w:rPr>
                          <w:b/>
                          <w:noProof/>
                          <w:color w:val="FFFFFF" w:themeColor="background1"/>
                          <w:sz w:val="32"/>
                          <w:szCs w:val="32"/>
                        </w:rPr>
                        <w:t>3</w:t>
                      </w:r>
                    </w:fldSimple>
                  </w:p>
                </w:txbxContent>
              </v:textbox>
              <w10:wrap anchorx="margin" anchory="margin"/>
            </v:oval>
          </w:pict>
        </w:r>
        <w:r>
          <w:rPr>
            <w:rFonts w:hint="cs"/>
            <w:rtl/>
          </w:rPr>
          <w:t xml:space="preserve"> </w:t>
        </w:r>
        <w:r w:rsidRPr="0052190F">
          <w:rPr>
            <w:rFonts w:ascii="Andalus" w:hAnsi="Andalus" w:cs="Andalus"/>
            <w:sz w:val="24"/>
            <w:szCs w:val="24"/>
            <w:rtl/>
            <w:lang w:bidi="ar-DZ"/>
          </w:rPr>
          <w:t>محاضرات مقياس الأدب المقار</w:t>
        </w:r>
        <w:r w:rsidRPr="0052190F">
          <w:rPr>
            <w:rFonts w:ascii="Andalus" w:hAnsi="Andalus" w:cs="Andalus" w:hint="cs"/>
            <w:sz w:val="24"/>
            <w:szCs w:val="24"/>
            <w:rtl/>
            <w:lang w:bidi="ar-DZ"/>
          </w:rPr>
          <w:t>ن(</w:t>
        </w:r>
        <w:r w:rsidRPr="0052190F">
          <w:rPr>
            <w:rFonts w:ascii="Andalus" w:hAnsi="Andalus" w:cs="Andalus"/>
            <w:sz w:val="24"/>
            <w:szCs w:val="24"/>
            <w:rtl/>
            <w:lang w:bidi="ar-DZ"/>
          </w:rPr>
          <w:t xml:space="preserve"> سنة2 ل المج2</w:t>
        </w:r>
        <w:r>
          <w:rPr>
            <w:rFonts w:ascii="Andalus" w:hAnsi="Andalus" w:cs="Andalus" w:hint="cs"/>
            <w:sz w:val="24"/>
            <w:szCs w:val="24"/>
            <w:rtl/>
            <w:lang w:bidi="ar-DZ"/>
          </w:rPr>
          <w:t>)</w:t>
        </w:r>
        <w:r>
          <w:rPr>
            <w:rFonts w:hint="cs"/>
            <w:rtl/>
          </w:rPr>
          <w:t xml:space="preserve">                          </w:t>
        </w:r>
        <w:r>
          <w:rPr>
            <w:rFonts w:ascii="Andalus" w:hAnsi="Andalus" w:cs="Andalus" w:hint="cs"/>
            <w:sz w:val="24"/>
            <w:szCs w:val="24"/>
            <w:rtl/>
            <w:lang w:bidi="ar-DZ"/>
          </w:rPr>
          <w:t>ال</w:t>
        </w:r>
        <w:r w:rsidRPr="0052190F">
          <w:rPr>
            <w:rFonts w:ascii="Andalus" w:hAnsi="Andalus" w:cs="Andalus"/>
            <w:sz w:val="24"/>
            <w:szCs w:val="24"/>
            <w:rtl/>
            <w:lang w:bidi="ar-DZ"/>
          </w:rPr>
          <w:t>أ</w:t>
        </w:r>
        <w:r>
          <w:rPr>
            <w:rFonts w:ascii="Andalus" w:hAnsi="Andalus" w:cs="Andalus" w:hint="cs"/>
            <w:sz w:val="24"/>
            <w:szCs w:val="24"/>
            <w:rtl/>
            <w:lang w:bidi="ar-DZ"/>
          </w:rPr>
          <w:t>ستاذ</w:t>
        </w:r>
        <w:r w:rsidRPr="0052190F">
          <w:rPr>
            <w:rFonts w:ascii="Andalus" w:hAnsi="Andalus" w:cs="Andalus"/>
            <w:sz w:val="24"/>
            <w:szCs w:val="24"/>
            <w:rtl/>
            <w:lang w:bidi="ar-DZ"/>
          </w:rPr>
          <w:t>/ حسين بوسوف</w:t>
        </w:r>
        <w:r w:rsidRPr="0052190F">
          <w:rPr>
            <w:rFonts w:ascii="Andalus" w:hAnsi="Andalus" w:cs="Andalus" w:hint="cs"/>
            <w:sz w:val="24"/>
            <w:szCs w:val="24"/>
            <w:rtl/>
            <w:lang w:bidi="ar-DZ"/>
          </w:rPr>
          <w:t>ة</w:t>
        </w:r>
        <w:r>
          <w:rPr>
            <w:rFonts w:ascii="Andalus" w:hAnsi="Andalus" w:cs="Andalus" w:hint="cs"/>
            <w:sz w:val="24"/>
            <w:szCs w:val="24"/>
            <w:rtl/>
            <w:lang w:bidi="ar-DZ"/>
          </w:rPr>
          <w:t>/جامعة عبد الرحمن ميرة/بجاية.</w:t>
        </w:r>
      </w:p>
      <w:p w:rsidR="00D706FC" w:rsidRDefault="00D706FC">
        <w:pPr>
          <w:pStyle w:val="En-tte"/>
        </w:pPr>
        <w:r>
          <w:rPr>
            <w:rFonts w:hint="cs"/>
            <w:rtl/>
          </w:rPr>
          <w:t xml:space="preserve">  </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74618"/>
      <w:docPartObj>
        <w:docPartGallery w:val="Page Numbers (Top of Page)"/>
        <w:docPartUnique/>
      </w:docPartObj>
    </w:sdtPr>
    <w:sdtContent>
      <w:p w:rsidR="00D706FC" w:rsidRPr="0052190F" w:rsidRDefault="00D706FC" w:rsidP="00D706FC">
        <w:pPr>
          <w:pStyle w:val="En-tte"/>
          <w:bidi/>
          <w:rPr>
            <w:rFonts w:ascii="Andalus" w:hAnsi="Andalus" w:cs="Andalus"/>
            <w:sz w:val="24"/>
            <w:szCs w:val="24"/>
            <w:rtl/>
            <w:lang w:bidi="ar-DZ"/>
          </w:rPr>
        </w:pPr>
        <w:r>
          <w:rPr>
            <w:noProof/>
            <w:lang w:eastAsia="zh-TW"/>
          </w:rPr>
          <w:pict>
            <v:oval id="_x0000_s2050" style="position:absolute;left:0;text-align:left;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2050">
                <w:txbxContent>
                  <w:p w:rsidR="00D706FC" w:rsidRDefault="00D706FC">
                    <w:pPr>
                      <w:pStyle w:val="Pieddepage"/>
                      <w:jc w:val="center"/>
                      <w:rPr>
                        <w:b/>
                        <w:color w:val="FFFFFF" w:themeColor="background1"/>
                        <w:sz w:val="32"/>
                        <w:szCs w:val="32"/>
                      </w:rPr>
                    </w:pPr>
                    <w:fldSimple w:instr=" PAGE    \* MERGEFORMAT ">
                      <w:r w:rsidR="002D5F90" w:rsidRPr="002D5F90">
                        <w:rPr>
                          <w:b/>
                          <w:noProof/>
                          <w:color w:val="FFFFFF" w:themeColor="background1"/>
                          <w:sz w:val="32"/>
                          <w:szCs w:val="32"/>
                        </w:rPr>
                        <w:t>1</w:t>
                      </w:r>
                    </w:fldSimple>
                  </w:p>
                </w:txbxContent>
              </v:textbox>
              <w10:wrap anchorx="margin" anchory="margin"/>
            </v:oval>
          </w:pict>
        </w:r>
        <w:r>
          <w:rPr>
            <w:rFonts w:hint="cs"/>
            <w:rtl/>
          </w:rPr>
          <w:t xml:space="preserve"> </w:t>
        </w:r>
        <w:r w:rsidRPr="0052190F">
          <w:rPr>
            <w:rFonts w:ascii="Andalus" w:hAnsi="Andalus" w:cs="Andalus"/>
            <w:sz w:val="24"/>
            <w:szCs w:val="24"/>
            <w:rtl/>
            <w:lang w:bidi="ar-DZ"/>
          </w:rPr>
          <w:t>محاضرات مقياس الأدب المقار</w:t>
        </w:r>
        <w:r w:rsidRPr="0052190F">
          <w:rPr>
            <w:rFonts w:ascii="Andalus" w:hAnsi="Andalus" w:cs="Andalus" w:hint="cs"/>
            <w:sz w:val="24"/>
            <w:szCs w:val="24"/>
            <w:rtl/>
            <w:lang w:bidi="ar-DZ"/>
          </w:rPr>
          <w:t>ن(</w:t>
        </w:r>
        <w:r w:rsidRPr="0052190F">
          <w:rPr>
            <w:rFonts w:ascii="Andalus" w:hAnsi="Andalus" w:cs="Andalus"/>
            <w:sz w:val="24"/>
            <w:szCs w:val="24"/>
            <w:rtl/>
            <w:lang w:bidi="ar-DZ"/>
          </w:rPr>
          <w:t xml:space="preserve"> سنة2 ل المج2</w:t>
        </w:r>
        <w:r>
          <w:rPr>
            <w:rFonts w:ascii="Andalus" w:hAnsi="Andalus" w:cs="Andalus" w:hint="cs"/>
            <w:sz w:val="24"/>
            <w:szCs w:val="24"/>
            <w:rtl/>
            <w:lang w:bidi="ar-DZ"/>
          </w:rPr>
          <w:t>)                           ال</w:t>
        </w:r>
        <w:r w:rsidRPr="0052190F">
          <w:rPr>
            <w:rFonts w:ascii="Andalus" w:hAnsi="Andalus" w:cs="Andalus"/>
            <w:sz w:val="24"/>
            <w:szCs w:val="24"/>
            <w:rtl/>
            <w:lang w:bidi="ar-DZ"/>
          </w:rPr>
          <w:t>أ</w:t>
        </w:r>
        <w:r>
          <w:rPr>
            <w:rFonts w:ascii="Andalus" w:hAnsi="Andalus" w:cs="Andalus" w:hint="cs"/>
            <w:sz w:val="24"/>
            <w:szCs w:val="24"/>
            <w:rtl/>
            <w:lang w:bidi="ar-DZ"/>
          </w:rPr>
          <w:t>ستاذ</w:t>
        </w:r>
        <w:r w:rsidRPr="0052190F">
          <w:rPr>
            <w:rFonts w:ascii="Andalus" w:hAnsi="Andalus" w:cs="Andalus"/>
            <w:sz w:val="24"/>
            <w:szCs w:val="24"/>
            <w:rtl/>
            <w:lang w:bidi="ar-DZ"/>
          </w:rPr>
          <w:t>/ حسين بوسوف</w:t>
        </w:r>
        <w:r w:rsidRPr="0052190F">
          <w:rPr>
            <w:rFonts w:ascii="Andalus" w:hAnsi="Andalus" w:cs="Andalus" w:hint="cs"/>
            <w:sz w:val="24"/>
            <w:szCs w:val="24"/>
            <w:rtl/>
            <w:lang w:bidi="ar-DZ"/>
          </w:rPr>
          <w:t>ة</w:t>
        </w:r>
        <w:r>
          <w:rPr>
            <w:rFonts w:ascii="Andalus" w:hAnsi="Andalus" w:cs="Andalus" w:hint="cs"/>
            <w:sz w:val="24"/>
            <w:szCs w:val="24"/>
            <w:rtl/>
            <w:lang w:bidi="ar-DZ"/>
          </w:rPr>
          <w:t>/جامعة عبد الرحمن ميرة/بجاية.</w:t>
        </w:r>
      </w:p>
      <w:p w:rsidR="00D706FC" w:rsidRDefault="00D706FC" w:rsidP="00D706FC">
        <w:pPr>
          <w:pStyle w:val="En-tte"/>
          <w:bidi/>
        </w:pPr>
        <w:r>
          <w:rPr>
            <w:rFonts w:ascii="Andalus" w:hAnsi="Andalus" w:cs="Andalus" w:hint="cs"/>
            <w:sz w:val="24"/>
            <w:szCs w:val="24"/>
            <w:rtl/>
            <w:lang w:bidi="ar-DZ"/>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83669"/>
    <w:multiLevelType w:val="hybridMultilevel"/>
    <w:tmpl w:val="246E0C74"/>
    <w:lvl w:ilvl="0" w:tplc="0DE08FE0">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706FC"/>
    <w:rsid w:val="002D5F90"/>
    <w:rsid w:val="003C4E01"/>
    <w:rsid w:val="009F5BB4"/>
    <w:rsid w:val="00C40E1F"/>
    <w:rsid w:val="00D4286C"/>
    <w:rsid w:val="00D706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link w:val="Style2Car"/>
    <w:qFormat/>
    <w:rsid w:val="009F5BB4"/>
    <w:pPr>
      <w:spacing w:after="0" w:line="480" w:lineRule="auto"/>
      <w:jc w:val="right"/>
    </w:pPr>
    <w:rPr>
      <w:sz w:val="20"/>
      <w:szCs w:val="20"/>
    </w:rPr>
  </w:style>
  <w:style w:type="character" w:customStyle="1" w:styleId="Style2Car">
    <w:name w:val="Style2 Car"/>
    <w:basedOn w:val="Policepardfaut"/>
    <w:link w:val="Style2"/>
    <w:rsid w:val="009F5BB4"/>
    <w:rPr>
      <w:sz w:val="20"/>
      <w:szCs w:val="20"/>
    </w:rPr>
  </w:style>
  <w:style w:type="paragraph" w:customStyle="1" w:styleId="Style3">
    <w:name w:val="Style3"/>
    <w:basedOn w:val="Normal"/>
    <w:link w:val="Style3Car"/>
    <w:autoRedefine/>
    <w:qFormat/>
    <w:rsid w:val="009F5BB4"/>
    <w:pPr>
      <w:spacing w:line="360" w:lineRule="auto"/>
    </w:pPr>
    <w:rPr>
      <w:lang w:bidi="ar-DZ"/>
    </w:rPr>
  </w:style>
  <w:style w:type="character" w:customStyle="1" w:styleId="Style3Car">
    <w:name w:val="Style3 Car"/>
    <w:basedOn w:val="Policepardfaut"/>
    <w:link w:val="Style3"/>
    <w:rsid w:val="009F5BB4"/>
    <w:rPr>
      <w:lang w:bidi="ar-DZ"/>
    </w:rPr>
  </w:style>
  <w:style w:type="paragraph" w:styleId="En-tte">
    <w:name w:val="header"/>
    <w:basedOn w:val="Normal"/>
    <w:link w:val="En-tteCar"/>
    <w:uiPriority w:val="99"/>
    <w:semiHidden/>
    <w:unhideWhenUsed/>
    <w:rsid w:val="00D706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06FC"/>
  </w:style>
  <w:style w:type="paragraph" w:styleId="Pieddepage">
    <w:name w:val="footer"/>
    <w:basedOn w:val="Normal"/>
    <w:link w:val="PieddepageCar"/>
    <w:uiPriority w:val="99"/>
    <w:unhideWhenUsed/>
    <w:rsid w:val="00D706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06FC"/>
  </w:style>
  <w:style w:type="paragraph" w:styleId="Paragraphedeliste">
    <w:name w:val="List Paragraph"/>
    <w:basedOn w:val="Normal"/>
    <w:uiPriority w:val="34"/>
    <w:qFormat/>
    <w:rsid w:val="00D706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FCD7-6379-4F65-8DD8-43E001B5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802</Words>
  <Characters>4414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2021-12-03T17:17:00Z</dcterms:created>
  <dcterms:modified xsi:type="dcterms:W3CDTF">2021-12-03T17:32:00Z</dcterms:modified>
</cp:coreProperties>
</file>