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1F" w:rsidRPr="00453D2C" w:rsidRDefault="002E33AC" w:rsidP="00DB0ADD">
      <w:pPr>
        <w:bidi/>
        <w:rPr>
          <w:rFonts w:ascii="Amiri" w:hAnsi="Amiri" w:cs="Amiri"/>
          <w:b/>
          <w:bCs/>
          <w:sz w:val="32"/>
          <w:szCs w:val="32"/>
          <w:u w:val="single"/>
          <w:rtl/>
          <w:lang w:bidi="ar-DZ"/>
        </w:rPr>
      </w:pPr>
      <w:r w:rsidRPr="00453D2C">
        <w:rPr>
          <w:rFonts w:ascii="Amiri" w:hAnsi="Amiri" w:cs="Amiri"/>
          <w:b/>
          <w:bCs/>
          <w:sz w:val="32"/>
          <w:szCs w:val="32"/>
          <w:u w:val="single"/>
          <w:rtl/>
          <w:lang w:bidi="ar-DZ"/>
        </w:rPr>
        <w:t xml:space="preserve">المحاضرة الخامسة </w:t>
      </w:r>
    </w:p>
    <w:p w:rsidR="002E33AC" w:rsidRPr="00453D2C" w:rsidRDefault="002E33AC" w:rsidP="002E33AC">
      <w:pPr>
        <w:bidi/>
        <w:jc w:val="center"/>
        <w:rPr>
          <w:rFonts w:ascii="Amiri" w:hAnsi="Amiri" w:cs="Amiri"/>
          <w:b/>
          <w:bCs/>
          <w:sz w:val="32"/>
          <w:szCs w:val="32"/>
          <w:u w:val="single"/>
          <w:rtl/>
          <w:lang w:bidi="ar-DZ"/>
        </w:rPr>
      </w:pPr>
      <w:r w:rsidRPr="00453D2C">
        <w:rPr>
          <w:rFonts w:ascii="Amiri" w:hAnsi="Amiri" w:cs="Amiri"/>
          <w:b/>
          <w:bCs/>
          <w:sz w:val="32"/>
          <w:szCs w:val="32"/>
          <w:u w:val="single"/>
          <w:rtl/>
          <w:lang w:bidi="ar-DZ"/>
        </w:rPr>
        <w:t>المدرسة الأمريكية (النصية/النقد  الجديد)</w:t>
      </w:r>
    </w:p>
    <w:p w:rsidR="005B5B09" w:rsidRPr="00453D2C" w:rsidRDefault="002E33AC" w:rsidP="003F5867">
      <w:pPr>
        <w:bidi/>
        <w:spacing w:line="240" w:lineRule="auto"/>
        <w:ind w:firstLine="708"/>
        <w:rPr>
          <w:rFonts w:ascii="Amiri" w:hAnsi="Amiri" w:cs="Amiri"/>
          <w:sz w:val="32"/>
          <w:szCs w:val="32"/>
          <w:rtl/>
          <w:lang w:bidi="ar-DZ"/>
        </w:rPr>
      </w:pPr>
      <w:r w:rsidRPr="00453D2C">
        <w:rPr>
          <w:rFonts w:ascii="Amiri" w:hAnsi="Amiri" w:cs="Amiri"/>
          <w:sz w:val="32"/>
          <w:szCs w:val="32"/>
          <w:rtl/>
          <w:lang w:bidi="ar-DZ"/>
        </w:rPr>
        <w:t xml:space="preserve">بعد أن هيمنت المدرسة الفرنسية على الأدب المقارن لمدة زمنية طويلة امتدت إلى غاية 1958، ظهر المقارن رونيه ويليك الذي شارك في المؤتمر الثاني للرابطة الدولية للأدب المقارن والذي انعقد في جامعة </w:t>
      </w:r>
      <w:r w:rsidRPr="00453D2C">
        <w:rPr>
          <w:rFonts w:ascii="Amiri" w:hAnsi="Amiri" w:cs="Amiri"/>
          <w:b/>
          <w:bCs/>
          <w:sz w:val="32"/>
          <w:szCs w:val="32"/>
          <w:rtl/>
          <w:lang w:bidi="ar-DZ"/>
        </w:rPr>
        <w:t>تشابل هيل</w:t>
      </w:r>
      <w:r w:rsidRPr="00453D2C">
        <w:rPr>
          <w:rFonts w:ascii="Amiri" w:hAnsi="Amiri" w:cs="Amiri"/>
          <w:sz w:val="32"/>
          <w:szCs w:val="32"/>
          <w:rtl/>
          <w:lang w:bidi="ar-DZ"/>
        </w:rPr>
        <w:t xml:space="preserve"> الأمريكية سنة1958 حيث وجه نقدا لا مثيل له ونسف أسس تلك المدرسة </w:t>
      </w:r>
      <w:r w:rsidR="00453D2C" w:rsidRPr="00453D2C">
        <w:rPr>
          <w:rFonts w:ascii="Amiri" w:hAnsi="Amiri" w:cs="Amiri" w:hint="cs"/>
          <w:sz w:val="32"/>
          <w:szCs w:val="32"/>
          <w:rtl/>
          <w:lang w:bidi="ar-DZ"/>
        </w:rPr>
        <w:t>ومركزاتها</w:t>
      </w:r>
      <w:r w:rsidRPr="00453D2C">
        <w:rPr>
          <w:rFonts w:ascii="Amiri" w:hAnsi="Amiri" w:cs="Amiri"/>
          <w:sz w:val="32"/>
          <w:szCs w:val="32"/>
          <w:rtl/>
          <w:lang w:bidi="ar-DZ"/>
        </w:rPr>
        <w:t xml:space="preserve">، كونها مثقلة بأعباء فلسفات القرن19، كالنزعتين التاريخية والوضعية، كما أنها تتعامل مع الأبعاد الداخلية للنصوص في منأى عن </w:t>
      </w:r>
      <w:r w:rsidR="00453D2C" w:rsidRPr="00453D2C">
        <w:rPr>
          <w:rFonts w:ascii="Amiri" w:hAnsi="Amiri" w:cs="Amiri"/>
          <w:sz w:val="32"/>
          <w:szCs w:val="32"/>
          <w:rtl/>
          <w:lang w:bidi="ar-DZ"/>
        </w:rPr>
        <w:t>أدبيتها</w:t>
      </w:r>
      <w:r w:rsidRPr="00453D2C">
        <w:rPr>
          <w:rFonts w:ascii="Amiri" w:hAnsi="Amiri" w:cs="Amiri"/>
          <w:sz w:val="32"/>
          <w:szCs w:val="32"/>
          <w:rtl/>
          <w:lang w:bidi="ar-DZ"/>
        </w:rPr>
        <w:t xml:space="preserve"> ولا تنظر في جوهر النص الفني الجمالي، وردا على هذه الانتقادات أعلن</w:t>
      </w:r>
      <w:r w:rsidRPr="00453D2C">
        <w:rPr>
          <w:rFonts w:ascii="Amiri" w:hAnsi="Amiri" w:cs="Amiri"/>
          <w:b/>
          <w:bCs/>
          <w:sz w:val="32"/>
          <w:szCs w:val="32"/>
          <w:rtl/>
          <w:lang w:bidi="ar-DZ"/>
        </w:rPr>
        <w:t xml:space="preserve"> ويليك</w:t>
      </w:r>
      <w:r w:rsidRPr="00453D2C">
        <w:rPr>
          <w:rFonts w:ascii="Amiri" w:hAnsi="Amiri" w:cs="Amiri"/>
          <w:sz w:val="32"/>
          <w:szCs w:val="32"/>
          <w:rtl/>
          <w:lang w:bidi="ar-DZ"/>
        </w:rPr>
        <w:t xml:space="preserve"> توجها آخرا للدراسات المقارنة وفقا للمدرسة الأمريكية</w:t>
      </w:r>
      <w:r w:rsidR="00453D2C">
        <w:rPr>
          <w:rFonts w:ascii="Amiri" w:hAnsi="Amiri" w:cs="Amiri" w:hint="cs"/>
          <w:sz w:val="32"/>
          <w:szCs w:val="32"/>
          <w:rtl/>
          <w:lang w:bidi="ar-DZ"/>
        </w:rPr>
        <w:t>،</w:t>
      </w:r>
      <w:r w:rsidRPr="00453D2C">
        <w:rPr>
          <w:rFonts w:ascii="Amiri" w:hAnsi="Amiri" w:cs="Amiri"/>
          <w:sz w:val="32"/>
          <w:szCs w:val="32"/>
          <w:rtl/>
          <w:lang w:bidi="ar-DZ"/>
        </w:rPr>
        <w:t xml:space="preserve"> التي فتحت المجال واسعا أمام الدراسات المقارنة</w:t>
      </w:r>
      <w:r w:rsidR="003F5867">
        <w:rPr>
          <w:rFonts w:ascii="Amiri" w:hAnsi="Amiri" w:cs="Amiri" w:hint="cs"/>
          <w:sz w:val="32"/>
          <w:szCs w:val="32"/>
          <w:rtl/>
          <w:lang w:bidi="ar-DZ"/>
        </w:rPr>
        <w:t xml:space="preserve"> </w:t>
      </w:r>
      <w:r w:rsidRPr="00453D2C">
        <w:rPr>
          <w:rFonts w:ascii="Amiri" w:hAnsi="Amiri" w:cs="Amiri"/>
          <w:sz w:val="32"/>
          <w:szCs w:val="32"/>
          <w:rtl/>
          <w:lang w:bidi="ar-DZ"/>
        </w:rPr>
        <w:t xml:space="preserve">وحددت هدفها بدراسة </w:t>
      </w:r>
      <w:r w:rsidR="005B5B09" w:rsidRPr="00453D2C">
        <w:rPr>
          <w:rFonts w:ascii="Amiri" w:hAnsi="Amiri" w:cs="Amiri"/>
          <w:sz w:val="32"/>
          <w:szCs w:val="32"/>
          <w:rtl/>
          <w:lang w:bidi="ar-DZ"/>
        </w:rPr>
        <w:t>الظواهر الأدبية في شموليتها دون النظر في الحواجز السياسية اللغوية والقومية.</w:t>
      </w:r>
    </w:p>
    <w:p w:rsidR="005B5B09" w:rsidRDefault="00DB0ADD" w:rsidP="00453D2C">
      <w:pPr>
        <w:bidi/>
        <w:spacing w:line="240" w:lineRule="auto"/>
        <w:ind w:firstLine="708"/>
        <w:rPr>
          <w:rFonts w:ascii="Traditional Arabic" w:hAnsi="Traditional Arabic" w:cs="Traditional Arabic" w:hint="cs"/>
          <w:sz w:val="32"/>
          <w:szCs w:val="32"/>
          <w:rtl/>
          <w:lang w:bidi="ar-DZ"/>
        </w:rPr>
      </w:pPr>
      <w:r w:rsidRPr="00453D2C">
        <w:rPr>
          <w:rFonts w:ascii="Amiri" w:hAnsi="Amiri" w:cs="Amiri"/>
          <w:sz w:val="32"/>
          <w:szCs w:val="32"/>
          <w:rtl/>
          <w:lang w:bidi="ar-DZ"/>
        </w:rPr>
        <w:t>لقد خرج</w:t>
      </w:r>
      <w:r w:rsidRPr="003F5867">
        <w:rPr>
          <w:rFonts w:ascii="Amiri" w:hAnsi="Amiri" w:cs="Amiri"/>
          <w:b/>
          <w:bCs/>
          <w:sz w:val="32"/>
          <w:szCs w:val="32"/>
          <w:rtl/>
          <w:lang w:bidi="ar-DZ"/>
        </w:rPr>
        <w:t xml:space="preserve"> </w:t>
      </w:r>
      <w:r w:rsidR="005B5B09" w:rsidRPr="003F5867">
        <w:rPr>
          <w:rFonts w:ascii="Amiri" w:hAnsi="Amiri" w:cs="Amiri"/>
          <w:b/>
          <w:bCs/>
          <w:sz w:val="32"/>
          <w:szCs w:val="32"/>
          <w:rtl/>
          <w:lang w:bidi="ar-DZ"/>
        </w:rPr>
        <w:t>ويليك</w:t>
      </w:r>
      <w:r w:rsidRPr="00453D2C">
        <w:rPr>
          <w:rFonts w:ascii="Amiri" w:hAnsi="Amiri" w:cs="Amiri"/>
          <w:sz w:val="32"/>
          <w:szCs w:val="32"/>
          <w:rtl/>
          <w:lang w:bidi="ar-DZ"/>
        </w:rPr>
        <w:t xml:space="preserve"> من المفاهيم الفرنسية من خلال دعوته</w:t>
      </w:r>
      <w:r w:rsidR="005B5B09" w:rsidRPr="00453D2C">
        <w:rPr>
          <w:rFonts w:ascii="Amiri" w:hAnsi="Amiri" w:cs="Amiri"/>
          <w:sz w:val="32"/>
          <w:szCs w:val="32"/>
          <w:rtl/>
          <w:lang w:bidi="ar-DZ"/>
        </w:rPr>
        <w:t xml:space="preserve"> إلى منهج يدرس الظواهر الأدبية بصورة تتجاوز الحدود القومية لتلك الظواهر، فالظواهر الأدبية الرئيسية من أجناس وتيارات أدبية لم تكن في يوم ما محصورة في أدب قومي واحد، بل تتعداه إلى آداب قومية مختلفة</w:t>
      </w:r>
      <w:r w:rsidR="005B5B09" w:rsidRPr="00DB0ADD">
        <w:rPr>
          <w:rFonts w:ascii="Traditional Arabic" w:hAnsi="Traditional Arabic" w:cs="Traditional Arabic"/>
          <w:sz w:val="32"/>
          <w:szCs w:val="32"/>
          <w:rtl/>
          <w:lang w:bidi="ar-DZ"/>
        </w:rPr>
        <w:t>.</w:t>
      </w:r>
    </w:p>
    <w:p w:rsidR="005B5B09" w:rsidRPr="00DB0ADD" w:rsidRDefault="005B5B09" w:rsidP="00DB0ADD">
      <w:pPr>
        <w:tabs>
          <w:tab w:val="left" w:pos="3282"/>
          <w:tab w:val="center" w:pos="4536"/>
        </w:tabs>
        <w:bidi/>
        <w:rPr>
          <w:rFonts w:ascii="Traditional Arabic" w:hAnsi="Traditional Arabic" w:cs="Traditional Arabic"/>
          <w:sz w:val="32"/>
          <w:szCs w:val="32"/>
          <w:rtl/>
          <w:lang w:bidi="ar-DZ"/>
        </w:rPr>
      </w:pPr>
      <w:r w:rsidRPr="00DB0ADD">
        <w:rPr>
          <w:rFonts w:ascii="Traditional Arabic" w:hAnsi="Traditional Arabic" w:cs="Traditional Arabic"/>
          <w:b/>
          <w:bCs/>
          <w:sz w:val="32"/>
          <w:szCs w:val="32"/>
          <w:u w:val="single"/>
          <w:rtl/>
          <w:lang w:bidi="ar-DZ"/>
        </w:rPr>
        <w:t>1</w:t>
      </w:r>
      <w:r w:rsidRPr="003F5867">
        <w:rPr>
          <w:rFonts w:ascii="Amiri" w:hAnsi="Amiri" w:cs="Amiri"/>
          <w:b/>
          <w:bCs/>
          <w:sz w:val="32"/>
          <w:szCs w:val="32"/>
          <w:u w:val="single"/>
          <w:rtl/>
          <w:lang w:bidi="ar-DZ"/>
        </w:rPr>
        <w:t>/التاريخ الأدبي والنقد الأدبي</w:t>
      </w:r>
      <w:r w:rsidRPr="00DB0ADD">
        <w:rPr>
          <w:rFonts w:ascii="Traditional Arabic" w:hAnsi="Traditional Arabic" w:cs="Traditional Arabic"/>
          <w:sz w:val="32"/>
          <w:szCs w:val="32"/>
          <w:rtl/>
          <w:lang w:bidi="ar-DZ"/>
        </w:rPr>
        <w:t>:</w:t>
      </w:r>
    </w:p>
    <w:p w:rsidR="003374CC" w:rsidRPr="00453D2C" w:rsidRDefault="005B5B09" w:rsidP="00DB0ADD">
      <w:pPr>
        <w:bidi/>
        <w:ind w:firstLine="708"/>
        <w:jc w:val="center"/>
        <w:rPr>
          <w:rFonts w:ascii="Amiri" w:hAnsi="Amiri" w:cs="Amiri"/>
          <w:sz w:val="32"/>
          <w:szCs w:val="32"/>
          <w:rtl/>
          <w:lang w:bidi="ar-DZ"/>
        </w:rPr>
      </w:pPr>
      <w:r w:rsidRPr="00453D2C">
        <w:rPr>
          <w:rFonts w:ascii="Amiri" w:hAnsi="Amiri" w:cs="Amiri"/>
          <w:sz w:val="32"/>
          <w:szCs w:val="32"/>
          <w:rtl/>
          <w:lang w:bidi="ar-DZ"/>
        </w:rPr>
        <w:t xml:space="preserve">عبر </w:t>
      </w:r>
      <w:r w:rsidRPr="003F5867">
        <w:rPr>
          <w:rFonts w:ascii="Amiri" w:hAnsi="Amiri" w:cs="Amiri"/>
          <w:b/>
          <w:bCs/>
          <w:sz w:val="32"/>
          <w:szCs w:val="32"/>
          <w:rtl/>
          <w:lang w:bidi="ar-DZ"/>
        </w:rPr>
        <w:t xml:space="preserve">ويليك </w:t>
      </w:r>
      <w:r w:rsidRPr="00453D2C">
        <w:rPr>
          <w:rFonts w:ascii="Amiri" w:hAnsi="Amiri" w:cs="Amiri"/>
          <w:sz w:val="32"/>
          <w:szCs w:val="32"/>
          <w:rtl/>
          <w:lang w:bidi="ar-DZ"/>
        </w:rPr>
        <w:t xml:space="preserve">عن ضيق الدراسات المقارنة وفقا للمنهج التاريخي من خلال مقالته الموسومة (أزمنة </w:t>
      </w:r>
      <w:r w:rsidR="003F5867" w:rsidRPr="00453D2C">
        <w:rPr>
          <w:rFonts w:ascii="Amiri" w:hAnsi="Amiri" w:cs="Amiri" w:hint="cs"/>
          <w:sz w:val="32"/>
          <w:szCs w:val="32"/>
          <w:rtl/>
          <w:lang w:bidi="ar-DZ"/>
        </w:rPr>
        <w:t>الأدب</w:t>
      </w:r>
      <w:r w:rsidRPr="00453D2C">
        <w:rPr>
          <w:rFonts w:ascii="Amiri" w:hAnsi="Amiri" w:cs="Amiri"/>
          <w:sz w:val="32"/>
          <w:szCs w:val="32"/>
          <w:rtl/>
          <w:lang w:bidi="ar-DZ"/>
        </w:rPr>
        <w:t xml:space="preserve"> المقارن) التي عدّت بمثابة بيان لميلاد مدرسة أمريكية حيث جاء فيها:"إن البحث الأدبي الحقيقي لا تعنيه الحقائق الميتة، بل تعنيه الخصائص والقيم، لهذا إنعدم الفرق بين التاريخ </w:t>
      </w:r>
      <w:r w:rsidR="003F5867" w:rsidRPr="00453D2C">
        <w:rPr>
          <w:rFonts w:ascii="Amiri" w:hAnsi="Amiri" w:cs="Amiri" w:hint="cs"/>
          <w:sz w:val="32"/>
          <w:szCs w:val="32"/>
          <w:rtl/>
          <w:lang w:bidi="ar-DZ"/>
        </w:rPr>
        <w:t>الأدبي</w:t>
      </w:r>
      <w:r w:rsidRPr="00453D2C">
        <w:rPr>
          <w:rFonts w:ascii="Amiri" w:hAnsi="Amiri" w:cs="Amiri"/>
          <w:sz w:val="32"/>
          <w:szCs w:val="32"/>
          <w:rtl/>
          <w:lang w:bidi="ar-DZ"/>
        </w:rPr>
        <w:t xml:space="preserve"> والنقد الأدبي، إذ أن أبسط مشكلة من مشكلات التاريخ الأدبي تتطلب </w:t>
      </w:r>
      <w:r w:rsidR="003F5867">
        <w:rPr>
          <w:rFonts w:ascii="Amiri" w:hAnsi="Amiri" w:cs="Amiri" w:hint="cs"/>
          <w:sz w:val="32"/>
          <w:szCs w:val="32"/>
          <w:rtl/>
          <w:lang w:bidi="ar-DZ"/>
        </w:rPr>
        <w:t>تح</w:t>
      </w:r>
      <w:r w:rsidR="003374CC" w:rsidRPr="00453D2C">
        <w:rPr>
          <w:rFonts w:ascii="Amiri" w:hAnsi="Amiri" w:cs="Amiri"/>
          <w:sz w:val="32"/>
          <w:szCs w:val="32"/>
          <w:rtl/>
          <w:lang w:bidi="ar-DZ"/>
        </w:rPr>
        <w:t>كيم العقل".</w:t>
      </w:r>
    </w:p>
    <w:p w:rsidR="003374CC" w:rsidRPr="00453D2C" w:rsidRDefault="003374CC" w:rsidP="003374CC">
      <w:pPr>
        <w:bidi/>
        <w:jc w:val="center"/>
        <w:rPr>
          <w:rFonts w:ascii="Amiri" w:hAnsi="Amiri" w:cs="Amiri"/>
          <w:sz w:val="32"/>
          <w:szCs w:val="32"/>
          <w:rtl/>
          <w:lang w:bidi="ar-DZ"/>
        </w:rPr>
      </w:pPr>
      <w:r w:rsidRPr="00453D2C">
        <w:rPr>
          <w:rFonts w:ascii="Amiri" w:hAnsi="Amiri" w:cs="Amiri"/>
          <w:sz w:val="32"/>
          <w:szCs w:val="32"/>
          <w:rtl/>
          <w:lang w:bidi="ar-DZ"/>
        </w:rPr>
        <w:lastRenderedPageBreak/>
        <w:t>هكذا اهتم ويليك باستجلاء القيم الجمالية للأعمال الأدبية واعتبرها أولى من البحث في مشكلاته التاريخية التي يتطلب حلها إعمال الآلة النقدية حول النصوص المقارنة.</w:t>
      </w:r>
    </w:p>
    <w:p w:rsidR="003374CC" w:rsidRPr="00453D2C" w:rsidRDefault="003374CC" w:rsidP="003374CC">
      <w:pPr>
        <w:bidi/>
        <w:jc w:val="center"/>
        <w:rPr>
          <w:rFonts w:ascii="Amiri" w:hAnsi="Amiri" w:cs="Amiri"/>
          <w:sz w:val="32"/>
          <w:szCs w:val="32"/>
          <w:rtl/>
          <w:lang w:bidi="ar-DZ"/>
        </w:rPr>
      </w:pPr>
      <w:r w:rsidRPr="00453D2C">
        <w:rPr>
          <w:rFonts w:ascii="Amiri" w:hAnsi="Amiri" w:cs="Amiri"/>
          <w:sz w:val="32"/>
          <w:szCs w:val="32"/>
          <w:rtl/>
          <w:lang w:bidi="ar-DZ"/>
        </w:rPr>
        <w:t xml:space="preserve">ولقد أشار </w:t>
      </w:r>
      <w:r w:rsidRPr="00453D2C">
        <w:rPr>
          <w:rFonts w:ascii="Amiri" w:hAnsi="Amiri" w:cs="Amiri"/>
          <w:b/>
          <w:bCs/>
          <w:sz w:val="32"/>
          <w:szCs w:val="32"/>
          <w:rtl/>
          <w:lang w:bidi="ar-DZ"/>
        </w:rPr>
        <w:t>إدوارد سعيد</w:t>
      </w:r>
      <w:r w:rsidRPr="00453D2C">
        <w:rPr>
          <w:rFonts w:ascii="Amiri" w:hAnsi="Amiri" w:cs="Amiri"/>
          <w:sz w:val="32"/>
          <w:szCs w:val="32"/>
          <w:rtl/>
          <w:lang w:bidi="ar-DZ"/>
        </w:rPr>
        <w:t xml:space="preserve"> في كتابه (</w:t>
      </w:r>
      <w:r w:rsidRPr="00453D2C">
        <w:rPr>
          <w:rFonts w:ascii="Amiri" w:hAnsi="Amiri" w:cs="Amiri"/>
          <w:b/>
          <w:bCs/>
          <w:sz w:val="32"/>
          <w:szCs w:val="32"/>
          <w:rtl/>
          <w:lang w:bidi="ar-DZ"/>
        </w:rPr>
        <w:t>الثقافة والامبريالية</w:t>
      </w:r>
      <w:r w:rsidRPr="00453D2C">
        <w:rPr>
          <w:rFonts w:ascii="Amiri" w:hAnsi="Amiri" w:cs="Amiri"/>
          <w:sz w:val="32"/>
          <w:szCs w:val="32"/>
          <w:rtl/>
          <w:lang w:bidi="ar-DZ"/>
        </w:rPr>
        <w:t xml:space="preserve">) إلى هذا الأمر حيث قال:"كان التراث الرئيسي لدراسة الأدب المقارن في أوروبا والولايات المتحدة </w:t>
      </w:r>
      <w:r w:rsidR="00DB0ADD" w:rsidRPr="00453D2C">
        <w:rPr>
          <w:rFonts w:ascii="Amiri" w:hAnsi="Amiri" w:cs="Amiri"/>
          <w:sz w:val="32"/>
          <w:szCs w:val="32"/>
          <w:rtl/>
          <w:lang w:bidi="ar-DZ"/>
        </w:rPr>
        <w:t>الأمريكية</w:t>
      </w:r>
      <w:r w:rsidRPr="00453D2C">
        <w:rPr>
          <w:rFonts w:ascii="Amiri" w:hAnsi="Amiri" w:cs="Amiri"/>
          <w:sz w:val="32"/>
          <w:szCs w:val="32"/>
          <w:rtl/>
          <w:lang w:bidi="ar-DZ"/>
        </w:rPr>
        <w:t xml:space="preserve"> منذ ما قبل الحرب العالمية الثانية بزمن طويل حتى أوائل السبعينات خاضعا بقوة لأسلوب من البحث يكاد يكون قد اختفى الآن، والسمة الرئيسية لهذا الأسلوب القديم هي أنه كان بحثا بالدرجة الأولى، ولم يكن ما أصبحنا نسميه نقدا</w:t>
      </w:r>
      <w:r w:rsidR="003F5867">
        <w:rPr>
          <w:rFonts w:ascii="Amiri" w:hAnsi="Amiri" w:cs="Amiri" w:hint="cs"/>
          <w:sz w:val="32"/>
          <w:szCs w:val="32"/>
          <w:rtl/>
          <w:lang w:bidi="ar-DZ"/>
        </w:rPr>
        <w:t>"</w:t>
      </w:r>
      <w:r w:rsidRPr="00453D2C">
        <w:rPr>
          <w:rFonts w:ascii="Amiri" w:hAnsi="Amiri" w:cs="Amiri"/>
          <w:sz w:val="32"/>
          <w:szCs w:val="32"/>
          <w:rtl/>
          <w:lang w:bidi="ar-DZ"/>
        </w:rPr>
        <w:t>.</w:t>
      </w:r>
    </w:p>
    <w:p w:rsidR="003374CC" w:rsidRPr="00453D2C" w:rsidRDefault="003374CC" w:rsidP="00DB0ADD">
      <w:pPr>
        <w:bidi/>
        <w:rPr>
          <w:rFonts w:ascii="Amiri" w:hAnsi="Amiri" w:cs="Amiri"/>
          <w:b/>
          <w:bCs/>
          <w:sz w:val="32"/>
          <w:szCs w:val="32"/>
          <w:u w:val="single"/>
          <w:rtl/>
          <w:lang w:bidi="ar-DZ"/>
        </w:rPr>
      </w:pPr>
      <w:r w:rsidRPr="00453D2C">
        <w:rPr>
          <w:rFonts w:ascii="Amiri" w:hAnsi="Amiri" w:cs="Amiri"/>
          <w:b/>
          <w:bCs/>
          <w:sz w:val="32"/>
          <w:szCs w:val="32"/>
          <w:u w:val="single"/>
          <w:rtl/>
          <w:lang w:bidi="ar-DZ"/>
        </w:rPr>
        <w:t>2/</w:t>
      </w:r>
      <w:r w:rsidR="00DB0ADD" w:rsidRPr="00453D2C">
        <w:rPr>
          <w:rFonts w:ascii="Amiri" w:hAnsi="Amiri" w:cs="Amiri"/>
          <w:b/>
          <w:bCs/>
          <w:sz w:val="32"/>
          <w:szCs w:val="32"/>
          <w:u w:val="single"/>
          <w:rtl/>
          <w:lang w:bidi="ar-DZ"/>
        </w:rPr>
        <w:t xml:space="preserve"> </w:t>
      </w:r>
      <w:r w:rsidRPr="00453D2C">
        <w:rPr>
          <w:rFonts w:ascii="Amiri" w:hAnsi="Amiri" w:cs="Amiri"/>
          <w:b/>
          <w:bCs/>
          <w:sz w:val="32"/>
          <w:szCs w:val="32"/>
          <w:u w:val="single"/>
          <w:rtl/>
          <w:lang w:bidi="ar-DZ"/>
        </w:rPr>
        <w:t>الأدب والفنون:</w:t>
      </w:r>
    </w:p>
    <w:p w:rsidR="003374CC" w:rsidRPr="00453D2C" w:rsidRDefault="003374CC" w:rsidP="003374CC">
      <w:pPr>
        <w:bidi/>
        <w:jc w:val="center"/>
        <w:rPr>
          <w:rFonts w:ascii="Amiri" w:hAnsi="Amiri" w:cs="Amiri"/>
          <w:sz w:val="32"/>
          <w:szCs w:val="32"/>
          <w:rtl/>
          <w:lang w:bidi="ar-DZ"/>
        </w:rPr>
      </w:pPr>
      <w:r w:rsidRPr="00453D2C">
        <w:rPr>
          <w:rFonts w:ascii="Amiri" w:hAnsi="Amiri" w:cs="Amiri"/>
          <w:sz w:val="32"/>
          <w:szCs w:val="32"/>
          <w:rtl/>
          <w:lang w:bidi="ar-DZ"/>
        </w:rPr>
        <w:t>دعت المدرسة الأمريكية إلى التفتح على نوع آخر من المقارنات، وتتمثل هذه المقارنات في مقارنة الأدب بالفنون والعلوم...فالفنون هي ظواهر جمالية تنطوي على أوجه تشابه كثيرة مع الأدب ودراستها يمكن أن تقربنا من فهم الأعمال الأدبية، ويمكن أن تؤدي مقارنتها بالأدب إلى الكشف عن جوهره.</w:t>
      </w:r>
    </w:p>
    <w:p w:rsidR="00DB0ADD" w:rsidRPr="00453D2C" w:rsidRDefault="003374CC" w:rsidP="003374CC">
      <w:pPr>
        <w:bidi/>
        <w:jc w:val="center"/>
        <w:rPr>
          <w:rFonts w:ascii="Amiri" w:hAnsi="Amiri" w:cs="Amiri"/>
          <w:sz w:val="32"/>
          <w:szCs w:val="32"/>
          <w:rtl/>
          <w:lang w:bidi="ar-DZ"/>
        </w:rPr>
      </w:pPr>
      <w:r w:rsidRPr="00453D2C">
        <w:rPr>
          <w:rFonts w:ascii="Amiri" w:hAnsi="Amiri" w:cs="Amiri"/>
          <w:sz w:val="32"/>
          <w:szCs w:val="32"/>
          <w:rtl/>
          <w:lang w:bidi="ar-DZ"/>
        </w:rPr>
        <w:t xml:space="preserve">وحول علاقة الأدب بالفنون قال </w:t>
      </w:r>
      <w:r w:rsidRPr="003F5867">
        <w:rPr>
          <w:rFonts w:ascii="Amiri" w:hAnsi="Amiri" w:cs="Amiri"/>
          <w:b/>
          <w:bCs/>
          <w:sz w:val="32"/>
          <w:szCs w:val="32"/>
          <w:rtl/>
          <w:lang w:bidi="ar-DZ"/>
        </w:rPr>
        <w:t>هنري ريماك</w:t>
      </w:r>
      <w:r w:rsidRPr="00453D2C">
        <w:rPr>
          <w:rFonts w:ascii="Amiri" w:hAnsi="Amiri" w:cs="Amiri"/>
          <w:sz w:val="32"/>
          <w:szCs w:val="32"/>
          <w:rtl/>
          <w:lang w:bidi="ar-DZ"/>
        </w:rPr>
        <w:t xml:space="preserve">:"إن الأدب المقارن هو دراسة الأدب خلف حدود بلد معين وهو كذلك دراسة العلاقة بين الأدب من جهة ومناطق أخرى من المعرفة والاعتقاد من جهة أخرى، وذلك مثل الفنون كالرسم والنحت والموسيقى..."  </w:t>
      </w:r>
    </w:p>
    <w:p w:rsidR="00DB0ADD" w:rsidRPr="00453D2C" w:rsidRDefault="00DB0ADD" w:rsidP="00DB0ADD">
      <w:pPr>
        <w:bidi/>
        <w:rPr>
          <w:rFonts w:ascii="Amiri" w:hAnsi="Amiri" w:cs="Amiri"/>
          <w:b/>
          <w:bCs/>
          <w:sz w:val="32"/>
          <w:szCs w:val="32"/>
          <w:u w:val="single"/>
          <w:rtl/>
          <w:lang w:bidi="ar-DZ"/>
        </w:rPr>
      </w:pPr>
      <w:r w:rsidRPr="00453D2C">
        <w:rPr>
          <w:rFonts w:ascii="Amiri" w:hAnsi="Amiri" w:cs="Amiri"/>
          <w:sz w:val="32"/>
          <w:szCs w:val="32"/>
          <w:rtl/>
          <w:lang w:bidi="ar-DZ"/>
        </w:rPr>
        <w:t>3</w:t>
      </w:r>
      <w:r w:rsidRPr="00453D2C">
        <w:rPr>
          <w:rFonts w:ascii="Amiri" w:hAnsi="Amiri" w:cs="Amiri"/>
          <w:b/>
          <w:bCs/>
          <w:sz w:val="32"/>
          <w:szCs w:val="32"/>
          <w:u w:val="single"/>
          <w:rtl/>
          <w:lang w:bidi="ar-DZ"/>
        </w:rPr>
        <w:t>/نتائج المدرسة الأمريكية:</w:t>
      </w:r>
    </w:p>
    <w:p w:rsidR="00DB0ADD" w:rsidRPr="00453D2C" w:rsidRDefault="00DB0ADD" w:rsidP="00DB0ADD">
      <w:pPr>
        <w:pStyle w:val="Paragraphedeliste"/>
        <w:numPr>
          <w:ilvl w:val="0"/>
          <w:numId w:val="1"/>
        </w:numPr>
        <w:bidi/>
        <w:jc w:val="center"/>
        <w:rPr>
          <w:rFonts w:ascii="Amiri" w:hAnsi="Amiri" w:cs="Amiri"/>
          <w:sz w:val="32"/>
          <w:szCs w:val="32"/>
          <w:lang w:bidi="ar-DZ"/>
        </w:rPr>
      </w:pPr>
      <w:r w:rsidRPr="00453D2C">
        <w:rPr>
          <w:rFonts w:ascii="Amiri" w:hAnsi="Amiri" w:cs="Amiri"/>
          <w:sz w:val="32"/>
          <w:szCs w:val="32"/>
          <w:rtl/>
          <w:lang w:bidi="ar-DZ"/>
        </w:rPr>
        <w:t>إحلال المقاربة الآنية مجل المقاربة التاريخية.</w:t>
      </w:r>
    </w:p>
    <w:p w:rsidR="00DB0ADD" w:rsidRPr="00453D2C" w:rsidRDefault="00DB0ADD" w:rsidP="00DB0ADD">
      <w:pPr>
        <w:pStyle w:val="Paragraphedeliste"/>
        <w:numPr>
          <w:ilvl w:val="0"/>
          <w:numId w:val="1"/>
        </w:numPr>
        <w:bidi/>
        <w:jc w:val="center"/>
        <w:rPr>
          <w:rFonts w:ascii="Amiri" w:hAnsi="Amiri" w:cs="Amiri"/>
          <w:sz w:val="32"/>
          <w:szCs w:val="32"/>
          <w:lang w:bidi="ar-DZ"/>
        </w:rPr>
      </w:pPr>
      <w:r w:rsidRPr="00453D2C">
        <w:rPr>
          <w:rFonts w:ascii="Amiri" w:hAnsi="Amiri" w:cs="Amiri"/>
          <w:sz w:val="32"/>
          <w:szCs w:val="32"/>
          <w:rtl/>
          <w:lang w:bidi="ar-DZ"/>
        </w:rPr>
        <w:t>تجاوز النظرية الغربية التي أسرفت تمركزها حول الذات.</w:t>
      </w:r>
    </w:p>
    <w:p w:rsidR="00DB0ADD" w:rsidRPr="00453D2C" w:rsidRDefault="00DB0ADD" w:rsidP="00DB0ADD">
      <w:pPr>
        <w:pStyle w:val="Paragraphedeliste"/>
        <w:numPr>
          <w:ilvl w:val="0"/>
          <w:numId w:val="1"/>
        </w:numPr>
        <w:bidi/>
        <w:jc w:val="center"/>
        <w:rPr>
          <w:rFonts w:ascii="Amiri" w:hAnsi="Amiri" w:cs="Amiri"/>
          <w:sz w:val="32"/>
          <w:szCs w:val="32"/>
          <w:lang w:bidi="ar-DZ"/>
        </w:rPr>
      </w:pPr>
      <w:r w:rsidRPr="00453D2C">
        <w:rPr>
          <w:rFonts w:ascii="Amiri" w:hAnsi="Amiri" w:cs="Amiri"/>
          <w:sz w:val="32"/>
          <w:szCs w:val="32"/>
          <w:rtl/>
          <w:lang w:bidi="ar-DZ"/>
        </w:rPr>
        <w:t>الالتفات إلى نتائج الآخر الذي همشته المركزية الغربية.</w:t>
      </w:r>
    </w:p>
    <w:p w:rsidR="00DB0ADD" w:rsidRPr="00453D2C" w:rsidRDefault="00DB0ADD" w:rsidP="00DB0ADD">
      <w:pPr>
        <w:pStyle w:val="Paragraphedeliste"/>
        <w:bidi/>
        <w:ind w:left="435"/>
        <w:rPr>
          <w:rFonts w:ascii="Amiri" w:hAnsi="Amiri" w:cs="Amiri"/>
          <w:b/>
          <w:bCs/>
          <w:sz w:val="32"/>
          <w:szCs w:val="32"/>
          <w:u w:val="single"/>
          <w:rtl/>
          <w:lang w:bidi="ar-DZ"/>
        </w:rPr>
      </w:pPr>
    </w:p>
    <w:p w:rsidR="00DB0ADD" w:rsidRPr="00453D2C" w:rsidRDefault="00DB0ADD" w:rsidP="00DB0ADD">
      <w:pPr>
        <w:pStyle w:val="Paragraphedeliste"/>
        <w:bidi/>
        <w:ind w:left="435"/>
        <w:rPr>
          <w:rFonts w:ascii="Amiri" w:hAnsi="Amiri" w:cs="Amiri"/>
          <w:b/>
          <w:bCs/>
          <w:sz w:val="32"/>
          <w:szCs w:val="32"/>
          <w:u w:val="single"/>
          <w:rtl/>
          <w:lang w:bidi="ar-DZ"/>
        </w:rPr>
      </w:pPr>
      <w:r w:rsidRPr="00453D2C">
        <w:rPr>
          <w:rFonts w:ascii="Amiri" w:hAnsi="Amiri" w:cs="Amiri"/>
          <w:b/>
          <w:bCs/>
          <w:sz w:val="32"/>
          <w:szCs w:val="32"/>
          <w:u w:val="single"/>
          <w:rtl/>
          <w:lang w:bidi="ar-DZ"/>
        </w:rPr>
        <w:t>4/النقد الموجه للمدرسة الأمريكية:</w:t>
      </w:r>
    </w:p>
    <w:p w:rsidR="00DB0ADD" w:rsidRPr="00453D2C" w:rsidRDefault="00DB0ADD" w:rsidP="00DB0ADD">
      <w:pPr>
        <w:pStyle w:val="Paragraphedeliste"/>
        <w:bidi/>
        <w:ind w:left="435"/>
        <w:rPr>
          <w:rFonts w:ascii="Amiri" w:hAnsi="Amiri" w:cs="Amiri"/>
          <w:b/>
          <w:bCs/>
          <w:sz w:val="32"/>
          <w:szCs w:val="32"/>
          <w:u w:val="single"/>
          <w:lang w:bidi="ar-DZ"/>
        </w:rPr>
      </w:pPr>
    </w:p>
    <w:p w:rsidR="00DB0ADD" w:rsidRPr="00453D2C" w:rsidRDefault="00DB0ADD" w:rsidP="00DB0ADD">
      <w:pPr>
        <w:pStyle w:val="Paragraphedeliste"/>
        <w:numPr>
          <w:ilvl w:val="0"/>
          <w:numId w:val="1"/>
        </w:numPr>
        <w:bidi/>
        <w:jc w:val="center"/>
        <w:rPr>
          <w:rFonts w:ascii="Amiri" w:hAnsi="Amiri" w:cs="Amiri"/>
          <w:sz w:val="32"/>
          <w:szCs w:val="32"/>
          <w:lang w:bidi="ar-DZ"/>
        </w:rPr>
      </w:pPr>
      <w:r w:rsidRPr="00453D2C">
        <w:rPr>
          <w:rFonts w:ascii="Amiri" w:hAnsi="Amiri" w:cs="Amiri"/>
          <w:sz w:val="32"/>
          <w:szCs w:val="32"/>
          <w:rtl/>
          <w:lang w:bidi="ar-DZ"/>
        </w:rPr>
        <w:t>هي مدرسة لا تميز بدقة بين مناهج ومفاهيم الأدب المقارن</w:t>
      </w:r>
      <w:r w:rsidR="003F5867">
        <w:rPr>
          <w:rFonts w:ascii="Amiri" w:hAnsi="Amiri" w:cs="Amiri" w:hint="cs"/>
          <w:sz w:val="32"/>
          <w:szCs w:val="32"/>
          <w:rtl/>
          <w:lang w:bidi="ar-DZ"/>
        </w:rPr>
        <w:t>،</w:t>
      </w:r>
      <w:r w:rsidRPr="00453D2C">
        <w:rPr>
          <w:rFonts w:ascii="Amiri" w:hAnsi="Amiri" w:cs="Amiri"/>
          <w:sz w:val="32"/>
          <w:szCs w:val="32"/>
          <w:rtl/>
          <w:lang w:bidi="ar-DZ"/>
        </w:rPr>
        <w:t xml:space="preserve"> والأدب العام رغم الاختلاف الجوهري بينهما.</w:t>
      </w:r>
    </w:p>
    <w:p w:rsidR="002E33AC" w:rsidRPr="00DB0ADD" w:rsidRDefault="00DB0ADD" w:rsidP="003F5867">
      <w:pPr>
        <w:pStyle w:val="Paragraphedeliste"/>
        <w:numPr>
          <w:ilvl w:val="0"/>
          <w:numId w:val="1"/>
        </w:numPr>
        <w:bidi/>
        <w:jc w:val="center"/>
        <w:rPr>
          <w:rFonts w:ascii="Traditional Arabic" w:hAnsi="Traditional Arabic" w:cs="Traditional Arabic"/>
          <w:sz w:val="32"/>
          <w:szCs w:val="32"/>
          <w:rtl/>
          <w:lang w:bidi="ar-DZ"/>
        </w:rPr>
      </w:pPr>
      <w:r w:rsidRPr="00453D2C">
        <w:rPr>
          <w:rFonts w:ascii="Amiri" w:hAnsi="Amiri" w:cs="Amiri"/>
          <w:sz w:val="32"/>
          <w:szCs w:val="32"/>
          <w:rtl/>
          <w:lang w:bidi="ar-DZ"/>
        </w:rPr>
        <w:t>بالغت المدرسة الأمريكية في عدم الاهتمام بالحدود القومية والسياسية أثناء المقارنة بين الآداب، ما يجعلها تبدو بدون قومية</w:t>
      </w:r>
      <w:r w:rsidRPr="00DB0ADD">
        <w:rPr>
          <w:rFonts w:ascii="Traditional Arabic" w:hAnsi="Traditional Arabic" w:cs="Traditional Arabic"/>
          <w:sz w:val="32"/>
          <w:szCs w:val="32"/>
          <w:rtl/>
          <w:lang w:bidi="ar-DZ"/>
        </w:rPr>
        <w:t>.</w:t>
      </w:r>
      <w:r w:rsidR="003374CC" w:rsidRPr="00DB0ADD">
        <w:rPr>
          <w:rFonts w:ascii="Traditional Arabic" w:hAnsi="Traditional Arabic" w:cs="Traditional Arabic"/>
          <w:sz w:val="32"/>
          <w:szCs w:val="32"/>
          <w:rtl/>
          <w:lang w:bidi="ar-DZ"/>
        </w:rPr>
        <w:t xml:space="preserve"> </w:t>
      </w:r>
      <w:r w:rsidR="005B5B09" w:rsidRPr="00DB0ADD">
        <w:rPr>
          <w:rFonts w:ascii="Traditional Arabic" w:hAnsi="Traditional Arabic" w:cs="Traditional Arabic"/>
          <w:sz w:val="32"/>
          <w:szCs w:val="32"/>
          <w:rtl/>
          <w:lang w:bidi="ar-DZ"/>
        </w:rPr>
        <w:t xml:space="preserve">  </w:t>
      </w:r>
      <w:r w:rsidR="002E33AC" w:rsidRPr="00DB0ADD">
        <w:rPr>
          <w:rFonts w:ascii="Traditional Arabic" w:hAnsi="Traditional Arabic" w:cs="Traditional Arabic"/>
          <w:sz w:val="32"/>
          <w:szCs w:val="32"/>
          <w:rtl/>
          <w:lang w:bidi="ar-DZ"/>
        </w:rPr>
        <w:t xml:space="preserve">  </w:t>
      </w:r>
    </w:p>
    <w:sectPr w:rsidR="002E33AC" w:rsidRPr="00DB0ADD" w:rsidSect="00C40E1F">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43B" w:rsidRDefault="0030343B" w:rsidP="00DB0ADD">
      <w:pPr>
        <w:spacing w:after="0" w:line="240" w:lineRule="auto"/>
      </w:pPr>
      <w:r>
        <w:separator/>
      </w:r>
    </w:p>
  </w:endnote>
  <w:endnote w:type="continuationSeparator" w:id="1">
    <w:p w:rsidR="0030343B" w:rsidRDefault="0030343B" w:rsidP="00DB0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iri">
    <w:panose1 w:val="00000500000000000000"/>
    <w:charset w:val="00"/>
    <w:family w:val="auto"/>
    <w:pitch w:val="variable"/>
    <w:sig w:usb0="A000206F" w:usb1="80002042"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43B" w:rsidRDefault="0030343B" w:rsidP="00DB0ADD">
      <w:pPr>
        <w:spacing w:after="0" w:line="240" w:lineRule="auto"/>
      </w:pPr>
      <w:r>
        <w:separator/>
      </w:r>
    </w:p>
  </w:footnote>
  <w:footnote w:type="continuationSeparator" w:id="1">
    <w:p w:rsidR="0030343B" w:rsidRDefault="0030343B" w:rsidP="00DB0A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78894"/>
      <w:docPartObj>
        <w:docPartGallery w:val="Page Numbers (Top of Page)"/>
        <w:docPartUnique/>
      </w:docPartObj>
    </w:sdtPr>
    <w:sdtContent>
      <w:p w:rsidR="00DB0ADD" w:rsidRDefault="00453D2C">
        <w:pPr>
          <w:pStyle w:val="En-tte"/>
        </w:pPr>
        <w:r w:rsidRPr="00453D2C">
          <w:rPr>
            <w:b/>
            <w:bCs/>
            <w:noProof/>
            <w:lang w:eastAsia="zh-TW"/>
          </w:rPr>
          <w:pict>
            <v:oval id="_x0000_s2049" style="position:absolute;margin-left:212.8pt;margin-top:10.7pt;width:49.35pt;height:49.35pt;z-index:251660288;mso-position-horizontal-relative:margin;mso-position-vertical-relative:top-margin-area;v-text-anchor:middle" o:allowincell="f" fillcolor="#365f91 [2404]" stroked="f">
              <v:textbox style="mso-next-textbox:#_x0000_s2049">
                <w:txbxContent>
                  <w:p w:rsidR="00453D2C" w:rsidRDefault="00453D2C">
                    <w:pPr>
                      <w:pStyle w:val="Pieddepage"/>
                      <w:jc w:val="center"/>
                      <w:rPr>
                        <w:b/>
                        <w:color w:val="FFFFFF" w:themeColor="background1"/>
                        <w:sz w:val="32"/>
                        <w:szCs w:val="32"/>
                      </w:rPr>
                    </w:pPr>
                    <w:fldSimple w:instr=" PAGE    \* MERGEFORMAT ">
                      <w:r w:rsidR="003F5867" w:rsidRPr="003F5867">
                        <w:rPr>
                          <w:b/>
                          <w:noProof/>
                          <w:color w:val="FFFFFF" w:themeColor="background1"/>
                          <w:sz w:val="32"/>
                          <w:szCs w:val="32"/>
                        </w:rPr>
                        <w:t>3</w:t>
                      </w:r>
                    </w:fldSimple>
                  </w:p>
                </w:txbxContent>
              </v:textbox>
              <w10:wrap anchorx="margin" anchory="margin"/>
            </v:oval>
          </w:pict>
        </w:r>
        <w:r w:rsidRPr="00453D2C">
          <w:rPr>
            <w:rFonts w:hint="cs"/>
            <w:b/>
            <w:bCs/>
            <w:rtl/>
          </w:rPr>
          <w:t xml:space="preserve">محاضرات مدخل إلى الأدب المقارن س2مج2                             الأستاذ حسين بوسوفة/ جامعة عبد الرحمن ميرة </w:t>
        </w:r>
        <w:r w:rsidRPr="00453D2C">
          <w:rPr>
            <w:b/>
            <w:bCs/>
            <w:rtl/>
          </w:rPr>
          <w:t>–</w:t>
        </w:r>
        <w:r w:rsidRPr="00453D2C">
          <w:rPr>
            <w:rFonts w:hint="cs"/>
            <w:b/>
            <w:bCs/>
            <w:rtl/>
          </w:rPr>
          <w:t>بجاية</w:t>
        </w:r>
        <w:r>
          <w:rPr>
            <w:rFonts w:hint="cs"/>
            <w:rtl/>
          </w:rPr>
          <w:t xml:space="preserve">-                                                            </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BC73F5"/>
    <w:multiLevelType w:val="hybridMultilevel"/>
    <w:tmpl w:val="30BA9BF6"/>
    <w:lvl w:ilvl="0" w:tplc="BE3808FC">
      <w:numFmt w:val="bullet"/>
      <w:lvlText w:val="-"/>
      <w:lvlJc w:val="left"/>
      <w:pPr>
        <w:ind w:left="435" w:hanging="360"/>
      </w:pPr>
      <w:rPr>
        <w:rFonts w:ascii="Arial" w:eastAsiaTheme="minorHAnsi" w:hAnsi="Arial" w:cs="Arial" w:hint="default"/>
      </w:rPr>
    </w:lvl>
    <w:lvl w:ilvl="1" w:tplc="040C0003" w:tentative="1">
      <w:start w:val="1"/>
      <w:numFmt w:val="bullet"/>
      <w:lvlText w:val="o"/>
      <w:lvlJc w:val="left"/>
      <w:pPr>
        <w:ind w:left="1155" w:hanging="360"/>
      </w:pPr>
      <w:rPr>
        <w:rFonts w:ascii="Courier New" w:hAnsi="Courier New" w:cs="Courier New" w:hint="default"/>
      </w:rPr>
    </w:lvl>
    <w:lvl w:ilvl="2" w:tplc="040C0005" w:tentative="1">
      <w:start w:val="1"/>
      <w:numFmt w:val="bullet"/>
      <w:lvlText w:val=""/>
      <w:lvlJc w:val="left"/>
      <w:pPr>
        <w:ind w:left="1875" w:hanging="360"/>
      </w:pPr>
      <w:rPr>
        <w:rFonts w:ascii="Wingdings" w:hAnsi="Wingdings" w:hint="default"/>
      </w:rPr>
    </w:lvl>
    <w:lvl w:ilvl="3" w:tplc="040C0001" w:tentative="1">
      <w:start w:val="1"/>
      <w:numFmt w:val="bullet"/>
      <w:lvlText w:val=""/>
      <w:lvlJc w:val="left"/>
      <w:pPr>
        <w:ind w:left="2595" w:hanging="360"/>
      </w:pPr>
      <w:rPr>
        <w:rFonts w:ascii="Symbol" w:hAnsi="Symbol" w:hint="default"/>
      </w:rPr>
    </w:lvl>
    <w:lvl w:ilvl="4" w:tplc="040C0003" w:tentative="1">
      <w:start w:val="1"/>
      <w:numFmt w:val="bullet"/>
      <w:lvlText w:val="o"/>
      <w:lvlJc w:val="left"/>
      <w:pPr>
        <w:ind w:left="3315" w:hanging="360"/>
      </w:pPr>
      <w:rPr>
        <w:rFonts w:ascii="Courier New" w:hAnsi="Courier New" w:cs="Courier New" w:hint="default"/>
      </w:rPr>
    </w:lvl>
    <w:lvl w:ilvl="5" w:tplc="040C0005" w:tentative="1">
      <w:start w:val="1"/>
      <w:numFmt w:val="bullet"/>
      <w:lvlText w:val=""/>
      <w:lvlJc w:val="left"/>
      <w:pPr>
        <w:ind w:left="4035" w:hanging="360"/>
      </w:pPr>
      <w:rPr>
        <w:rFonts w:ascii="Wingdings" w:hAnsi="Wingdings" w:hint="default"/>
      </w:rPr>
    </w:lvl>
    <w:lvl w:ilvl="6" w:tplc="040C0001" w:tentative="1">
      <w:start w:val="1"/>
      <w:numFmt w:val="bullet"/>
      <w:lvlText w:val=""/>
      <w:lvlJc w:val="left"/>
      <w:pPr>
        <w:ind w:left="4755" w:hanging="360"/>
      </w:pPr>
      <w:rPr>
        <w:rFonts w:ascii="Symbol" w:hAnsi="Symbol" w:hint="default"/>
      </w:rPr>
    </w:lvl>
    <w:lvl w:ilvl="7" w:tplc="040C0003" w:tentative="1">
      <w:start w:val="1"/>
      <w:numFmt w:val="bullet"/>
      <w:lvlText w:val="o"/>
      <w:lvlJc w:val="left"/>
      <w:pPr>
        <w:ind w:left="5475" w:hanging="360"/>
      </w:pPr>
      <w:rPr>
        <w:rFonts w:ascii="Courier New" w:hAnsi="Courier New" w:cs="Courier New" w:hint="default"/>
      </w:rPr>
    </w:lvl>
    <w:lvl w:ilvl="8" w:tplc="040C0005" w:tentative="1">
      <w:start w:val="1"/>
      <w:numFmt w:val="bullet"/>
      <w:lvlText w:val=""/>
      <w:lvlJc w:val="left"/>
      <w:pPr>
        <w:ind w:left="619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2E33AC"/>
    <w:rsid w:val="00204E19"/>
    <w:rsid w:val="002E33AC"/>
    <w:rsid w:val="0030343B"/>
    <w:rsid w:val="003374CC"/>
    <w:rsid w:val="003F5867"/>
    <w:rsid w:val="00453D2C"/>
    <w:rsid w:val="005B5B09"/>
    <w:rsid w:val="009F5BB4"/>
    <w:rsid w:val="00C40E1F"/>
    <w:rsid w:val="00DB0AD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E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2"/>
    <w:basedOn w:val="Normal"/>
    <w:link w:val="Style2Car"/>
    <w:qFormat/>
    <w:rsid w:val="009F5BB4"/>
    <w:pPr>
      <w:spacing w:after="0" w:line="480" w:lineRule="auto"/>
      <w:jc w:val="right"/>
    </w:pPr>
    <w:rPr>
      <w:sz w:val="20"/>
      <w:szCs w:val="20"/>
    </w:rPr>
  </w:style>
  <w:style w:type="character" w:customStyle="1" w:styleId="Style2Car">
    <w:name w:val="Style2 Car"/>
    <w:basedOn w:val="Policepardfaut"/>
    <w:link w:val="Style2"/>
    <w:rsid w:val="009F5BB4"/>
    <w:rPr>
      <w:sz w:val="20"/>
      <w:szCs w:val="20"/>
    </w:rPr>
  </w:style>
  <w:style w:type="paragraph" w:customStyle="1" w:styleId="Style3">
    <w:name w:val="Style3"/>
    <w:basedOn w:val="Normal"/>
    <w:link w:val="Style3Car"/>
    <w:autoRedefine/>
    <w:qFormat/>
    <w:rsid w:val="009F5BB4"/>
    <w:pPr>
      <w:spacing w:line="360" w:lineRule="auto"/>
    </w:pPr>
    <w:rPr>
      <w:lang w:bidi="ar-DZ"/>
    </w:rPr>
  </w:style>
  <w:style w:type="character" w:customStyle="1" w:styleId="Style3Car">
    <w:name w:val="Style3 Car"/>
    <w:basedOn w:val="Policepardfaut"/>
    <w:link w:val="Style3"/>
    <w:rsid w:val="009F5BB4"/>
    <w:rPr>
      <w:lang w:bidi="ar-DZ"/>
    </w:rPr>
  </w:style>
  <w:style w:type="paragraph" w:styleId="Paragraphedeliste">
    <w:name w:val="List Paragraph"/>
    <w:basedOn w:val="Normal"/>
    <w:uiPriority w:val="34"/>
    <w:qFormat/>
    <w:rsid w:val="00DB0ADD"/>
    <w:pPr>
      <w:ind w:left="720"/>
      <w:contextualSpacing/>
    </w:pPr>
  </w:style>
  <w:style w:type="paragraph" w:styleId="En-tte">
    <w:name w:val="header"/>
    <w:basedOn w:val="Normal"/>
    <w:link w:val="En-tteCar"/>
    <w:uiPriority w:val="99"/>
    <w:semiHidden/>
    <w:unhideWhenUsed/>
    <w:rsid w:val="00DB0AD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B0ADD"/>
  </w:style>
  <w:style w:type="paragraph" w:styleId="Pieddepage">
    <w:name w:val="footer"/>
    <w:basedOn w:val="Normal"/>
    <w:link w:val="PieddepageCar"/>
    <w:uiPriority w:val="99"/>
    <w:unhideWhenUsed/>
    <w:rsid w:val="00DB0AD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0ADD"/>
  </w:style>
  <w:style w:type="character" w:styleId="Numrodeligne">
    <w:name w:val="line number"/>
    <w:basedOn w:val="Policepardfaut"/>
    <w:uiPriority w:val="99"/>
    <w:semiHidden/>
    <w:unhideWhenUsed/>
    <w:rsid w:val="00DB0AD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A48FC-C770-4A88-A0CE-9F1CB809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434</Words>
  <Characters>2391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2021-12-03T19:30:00Z</dcterms:created>
  <dcterms:modified xsi:type="dcterms:W3CDTF">2021-12-03T19:41:00Z</dcterms:modified>
</cp:coreProperties>
</file>