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7A1" w:rsidRPr="00223728" w:rsidRDefault="008307A1" w:rsidP="008307A1">
      <w:pPr>
        <w:bidi/>
        <w:spacing w:before="100" w:beforeAutospacing="1" w:after="100" w:afterAutospacing="1" w:line="240" w:lineRule="auto"/>
        <w:ind w:firstLine="709"/>
        <w:jc w:val="both"/>
        <w:rPr>
          <w:rFonts w:cs="Traditional Arabic"/>
          <w:b/>
          <w:bCs/>
          <w:sz w:val="40"/>
          <w:szCs w:val="40"/>
          <w:rtl/>
          <w:lang w:bidi="ar-DZ"/>
        </w:rPr>
      </w:pPr>
      <w:r w:rsidRPr="00223728">
        <w:rPr>
          <w:rFonts w:cs="Traditional Arabic" w:hint="cs"/>
          <w:b/>
          <w:bCs/>
          <w:sz w:val="40"/>
          <w:szCs w:val="40"/>
          <w:rtl/>
          <w:lang w:bidi="ar-DZ"/>
        </w:rPr>
        <w:t>معايير النصية في لسانيات النص :</w:t>
      </w:r>
    </w:p>
    <w:p w:rsidR="008307A1" w:rsidRPr="00972A1A" w:rsidRDefault="008307A1" w:rsidP="00374170">
      <w:pPr>
        <w:bidi/>
        <w:spacing w:after="0" w:line="240" w:lineRule="auto"/>
        <w:ind w:firstLine="709"/>
        <w:jc w:val="both"/>
        <w:rPr>
          <w:rFonts w:cs="Traditional Arabic"/>
          <w:sz w:val="40"/>
          <w:szCs w:val="40"/>
          <w:rtl/>
          <w:lang w:bidi="ar-DZ"/>
        </w:rPr>
      </w:pPr>
      <w:r>
        <w:rPr>
          <w:rFonts w:cs="Traditional Arabic" w:hint="cs"/>
          <w:sz w:val="40"/>
          <w:szCs w:val="40"/>
          <w:rtl/>
          <w:lang w:bidi="ar-DZ"/>
        </w:rPr>
        <w:t>ل</w:t>
      </w:r>
      <w:r w:rsidRPr="00972A1A">
        <w:rPr>
          <w:rFonts w:cs="Traditional Arabic" w:hint="cs"/>
          <w:sz w:val="40"/>
          <w:szCs w:val="40"/>
          <w:rtl/>
          <w:lang w:bidi="ar-DZ"/>
        </w:rPr>
        <w:t>قد قام ديبوجراند بتحديد معايير النصيّة، التّي لم تشمل عليها تصورات هاريس والتوليديين، باعتبارها أطروحات عجزت عن تحديد موقف محدّدا من النصوص غير النحويّة واختلاف الأساليب داخل النصوص، وأهم هذه المبادئ النصافية</w:t>
      </w:r>
      <w:r w:rsidRPr="00972A1A">
        <w:rPr>
          <w:rFonts w:cs="Traditional Arabic" w:hint="cs"/>
          <w:sz w:val="40"/>
          <w:szCs w:val="40"/>
          <w:vertAlign w:val="superscript"/>
          <w:rtl/>
          <w:lang w:bidi="ar-DZ"/>
        </w:rPr>
        <w:t>()</w:t>
      </w:r>
      <w:r w:rsidRPr="00972A1A">
        <w:rPr>
          <w:rFonts w:cs="Traditional Arabic" w:hint="cs"/>
          <w:sz w:val="40"/>
          <w:szCs w:val="40"/>
          <w:rtl/>
          <w:lang w:bidi="ar-DZ"/>
        </w:rPr>
        <w:t>:</w:t>
      </w:r>
    </w:p>
    <w:p w:rsidR="008307A1" w:rsidRPr="00972A1A" w:rsidRDefault="008307A1" w:rsidP="008307A1">
      <w:pPr>
        <w:bidi/>
        <w:spacing w:before="100" w:beforeAutospacing="1" w:after="100" w:afterAutospacing="1" w:line="240" w:lineRule="auto"/>
        <w:ind w:firstLine="709"/>
        <w:jc w:val="both"/>
        <w:rPr>
          <w:rFonts w:cs="Traditional Arabic"/>
          <w:sz w:val="40"/>
          <w:szCs w:val="40"/>
          <w:rtl/>
          <w:lang w:bidi="ar-DZ"/>
        </w:rPr>
      </w:pPr>
      <w:r w:rsidRPr="00972A1A">
        <w:rPr>
          <w:rFonts w:cs="Traditional Arabic" w:hint="cs"/>
          <w:b/>
          <w:bCs/>
          <w:sz w:val="40"/>
          <w:szCs w:val="40"/>
          <w:rtl/>
          <w:lang w:bidi="ar-DZ"/>
        </w:rPr>
        <w:t xml:space="preserve"> (الإتساق) </w:t>
      </w:r>
      <w:r w:rsidRPr="00B253CD">
        <w:rPr>
          <w:rFonts w:asciiTheme="majorBidi" w:hAnsiTheme="majorBidi" w:cstheme="majorBidi"/>
          <w:b/>
          <w:bCs/>
          <w:sz w:val="28"/>
          <w:szCs w:val="28"/>
          <w:lang w:bidi="ar-DZ"/>
        </w:rPr>
        <w:t>Cohésion</w:t>
      </w:r>
      <w:r w:rsidRPr="00972A1A">
        <w:rPr>
          <w:rFonts w:cs="Traditional Arabic" w:hint="cs"/>
          <w:b/>
          <w:bCs/>
          <w:sz w:val="40"/>
          <w:szCs w:val="40"/>
          <w:rtl/>
          <w:lang w:bidi="ar-DZ"/>
        </w:rPr>
        <w:t>:</w:t>
      </w:r>
      <w:r w:rsidRPr="00972A1A">
        <w:rPr>
          <w:rFonts w:cs="Traditional Arabic" w:hint="cs"/>
          <w:sz w:val="40"/>
          <w:szCs w:val="40"/>
          <w:rtl/>
          <w:lang w:bidi="ar-DZ"/>
        </w:rPr>
        <w:t xml:space="preserve"> وهو ذلك الترابط الرصفي (النحوي) في البنية السطحية، أي متعلق بالجانب النحوي وما يرتبط بالإحالة والربط وغيره.</w:t>
      </w:r>
    </w:p>
    <w:p w:rsidR="008307A1" w:rsidRPr="00972A1A" w:rsidRDefault="008307A1" w:rsidP="008307A1">
      <w:pPr>
        <w:bidi/>
        <w:spacing w:before="100" w:beforeAutospacing="1" w:after="100" w:afterAutospacing="1" w:line="240" w:lineRule="auto"/>
        <w:ind w:firstLine="709"/>
        <w:jc w:val="both"/>
        <w:rPr>
          <w:rFonts w:cs="Traditional Arabic"/>
          <w:sz w:val="40"/>
          <w:szCs w:val="40"/>
          <w:rtl/>
          <w:lang w:bidi="ar-DZ"/>
        </w:rPr>
      </w:pPr>
      <w:r w:rsidRPr="00972A1A">
        <w:rPr>
          <w:rFonts w:cs="Traditional Arabic" w:hint="cs"/>
          <w:b/>
          <w:bCs/>
          <w:sz w:val="40"/>
          <w:szCs w:val="40"/>
          <w:rtl/>
          <w:lang w:bidi="ar-DZ"/>
        </w:rPr>
        <w:t xml:space="preserve"> (الإنسجام) </w:t>
      </w:r>
      <w:r w:rsidRPr="00B253CD">
        <w:rPr>
          <w:rFonts w:asciiTheme="majorBidi" w:hAnsiTheme="majorBidi" w:cstheme="majorBidi"/>
          <w:b/>
          <w:bCs/>
          <w:sz w:val="28"/>
          <w:szCs w:val="28"/>
          <w:lang w:bidi="ar-DZ"/>
        </w:rPr>
        <w:t>Cohérence</w:t>
      </w:r>
      <w:r w:rsidRPr="00972A1A">
        <w:rPr>
          <w:rFonts w:cs="Traditional Arabic" w:hint="cs"/>
          <w:b/>
          <w:bCs/>
          <w:sz w:val="40"/>
          <w:szCs w:val="40"/>
          <w:rtl/>
          <w:lang w:bidi="ar-DZ"/>
        </w:rPr>
        <w:t>:</w:t>
      </w:r>
      <w:r w:rsidRPr="00972A1A">
        <w:rPr>
          <w:rFonts w:cs="Traditional Arabic" w:hint="cs"/>
          <w:sz w:val="40"/>
          <w:szCs w:val="40"/>
          <w:rtl/>
          <w:lang w:bidi="ar-DZ"/>
        </w:rPr>
        <w:t xml:space="preserve"> وهي العملية التّي يتم بها ربط الأفكار داخل النص، بما في ذلك الربط المنطقي للأفكار التي تعمل على تنظيم الأحداث في بنية الخطاب.</w:t>
      </w:r>
    </w:p>
    <w:p w:rsidR="008307A1" w:rsidRPr="00972A1A" w:rsidRDefault="008307A1" w:rsidP="008307A1">
      <w:pPr>
        <w:bidi/>
        <w:spacing w:after="0" w:line="240" w:lineRule="auto"/>
        <w:ind w:firstLine="709"/>
        <w:jc w:val="both"/>
        <w:rPr>
          <w:rFonts w:cs="Traditional Arabic"/>
          <w:sz w:val="40"/>
          <w:szCs w:val="40"/>
          <w:rtl/>
          <w:lang w:bidi="ar-DZ"/>
        </w:rPr>
      </w:pPr>
      <w:r w:rsidRPr="00972A1A">
        <w:rPr>
          <w:rFonts w:cs="Traditional Arabic" w:hint="cs"/>
          <w:b/>
          <w:bCs/>
          <w:sz w:val="40"/>
          <w:szCs w:val="40"/>
          <w:rtl/>
          <w:lang w:bidi="ar-DZ"/>
        </w:rPr>
        <w:t xml:space="preserve">-القصد </w:t>
      </w:r>
      <w:r w:rsidRPr="00B253CD">
        <w:rPr>
          <w:rFonts w:asciiTheme="majorBidi" w:hAnsiTheme="majorBidi" w:cstheme="majorBidi"/>
          <w:b/>
          <w:bCs/>
          <w:sz w:val="28"/>
          <w:szCs w:val="28"/>
          <w:lang w:bidi="ar-DZ"/>
        </w:rPr>
        <w:t>Intentionnalité</w:t>
      </w:r>
      <w:r w:rsidRPr="00972A1A">
        <w:rPr>
          <w:rFonts w:cs="Traditional Arabic" w:hint="cs"/>
          <w:b/>
          <w:bCs/>
          <w:sz w:val="40"/>
          <w:szCs w:val="40"/>
          <w:rtl/>
          <w:lang w:bidi="ar-DZ"/>
        </w:rPr>
        <w:t>:</w:t>
      </w:r>
      <w:r w:rsidRPr="00972A1A">
        <w:rPr>
          <w:rFonts w:cs="Traditional Arabic" w:hint="cs"/>
          <w:sz w:val="40"/>
          <w:szCs w:val="40"/>
          <w:rtl/>
          <w:lang w:bidi="ar-DZ"/>
        </w:rPr>
        <w:t xml:space="preserve"> وهو التعبير عن غرض النص بواسطة مجموعة من الصيغ والعبارات.</w:t>
      </w:r>
    </w:p>
    <w:p w:rsidR="008307A1" w:rsidRPr="00972A1A" w:rsidRDefault="008307A1" w:rsidP="008307A1">
      <w:pPr>
        <w:bidi/>
        <w:spacing w:before="100" w:beforeAutospacing="1" w:after="100" w:afterAutospacing="1" w:line="240" w:lineRule="auto"/>
        <w:ind w:firstLine="709"/>
        <w:jc w:val="both"/>
        <w:rPr>
          <w:rFonts w:cs="Traditional Arabic"/>
          <w:sz w:val="40"/>
          <w:szCs w:val="40"/>
          <w:rtl/>
          <w:lang w:bidi="ar-DZ"/>
        </w:rPr>
      </w:pPr>
      <w:r w:rsidRPr="00972A1A">
        <w:rPr>
          <w:rFonts w:cs="Traditional Arabic" w:hint="cs"/>
          <w:b/>
          <w:bCs/>
          <w:sz w:val="40"/>
          <w:szCs w:val="40"/>
          <w:rtl/>
          <w:lang w:bidi="ar-DZ"/>
        </w:rPr>
        <w:t xml:space="preserve">-المقامية </w:t>
      </w:r>
      <w:r w:rsidRPr="00B253CD">
        <w:rPr>
          <w:rFonts w:cs="Traditional Arabic"/>
          <w:b/>
          <w:bCs/>
          <w:sz w:val="28"/>
          <w:szCs w:val="28"/>
          <w:lang w:bidi="ar-DZ"/>
        </w:rPr>
        <w:t>Situationalité</w:t>
      </w:r>
      <w:r w:rsidRPr="00972A1A">
        <w:rPr>
          <w:rFonts w:cs="Traditional Arabic" w:hint="cs"/>
          <w:b/>
          <w:bCs/>
          <w:sz w:val="40"/>
          <w:szCs w:val="40"/>
          <w:rtl/>
          <w:lang w:bidi="ar-DZ"/>
        </w:rPr>
        <w:t xml:space="preserve">: </w:t>
      </w:r>
      <w:r w:rsidRPr="00972A1A">
        <w:rPr>
          <w:rFonts w:cs="Traditional Arabic" w:hint="cs"/>
          <w:sz w:val="40"/>
          <w:szCs w:val="40"/>
          <w:rtl/>
          <w:lang w:bidi="ar-DZ"/>
        </w:rPr>
        <w:t>وترتبط بالسياق الثقافي والاجتماعي الّذي أنتج فيه النص، ويساهم في رفع الإبهام عن دلالة وقصدية الباث.</w:t>
      </w:r>
    </w:p>
    <w:p w:rsidR="008307A1" w:rsidRPr="00972A1A" w:rsidRDefault="008307A1" w:rsidP="008307A1">
      <w:pPr>
        <w:bidi/>
        <w:spacing w:before="100" w:beforeAutospacing="1" w:after="100" w:afterAutospacing="1" w:line="240" w:lineRule="auto"/>
        <w:ind w:firstLine="709"/>
        <w:jc w:val="both"/>
        <w:rPr>
          <w:rFonts w:cs="Traditional Arabic"/>
          <w:sz w:val="40"/>
          <w:szCs w:val="40"/>
          <w:rtl/>
          <w:lang w:bidi="ar-DZ"/>
        </w:rPr>
      </w:pPr>
      <w:r w:rsidRPr="00972A1A">
        <w:rPr>
          <w:rFonts w:cs="Traditional Arabic" w:hint="cs"/>
          <w:b/>
          <w:bCs/>
          <w:sz w:val="40"/>
          <w:szCs w:val="40"/>
          <w:rtl/>
          <w:lang w:bidi="ar-DZ"/>
        </w:rPr>
        <w:t xml:space="preserve">-التناص </w:t>
      </w:r>
      <w:r w:rsidRPr="00B253CD">
        <w:rPr>
          <w:rFonts w:asciiTheme="majorBidi" w:hAnsiTheme="majorBidi" w:cstheme="majorBidi"/>
          <w:b/>
          <w:bCs/>
          <w:sz w:val="28"/>
          <w:szCs w:val="28"/>
          <w:lang w:bidi="ar-DZ"/>
        </w:rPr>
        <w:t>Intertextualité</w:t>
      </w:r>
      <w:r w:rsidRPr="00972A1A">
        <w:rPr>
          <w:rFonts w:cs="Traditional Arabic" w:hint="cs"/>
          <w:b/>
          <w:bCs/>
          <w:sz w:val="40"/>
          <w:szCs w:val="40"/>
          <w:rtl/>
          <w:lang w:bidi="ar-DZ"/>
        </w:rPr>
        <w:t>:</w:t>
      </w:r>
      <w:r w:rsidRPr="00972A1A">
        <w:rPr>
          <w:rFonts w:cs="Traditional Arabic" w:hint="cs"/>
          <w:sz w:val="40"/>
          <w:szCs w:val="40"/>
          <w:rtl/>
          <w:lang w:bidi="ar-DZ"/>
        </w:rPr>
        <w:t xml:space="preserve"> وهو ذلك التلاقي والاشتراك بين النصوص السابقة واللاحقة.</w:t>
      </w:r>
    </w:p>
    <w:p w:rsidR="008307A1" w:rsidRPr="00972A1A" w:rsidRDefault="008307A1" w:rsidP="008307A1">
      <w:pPr>
        <w:bidi/>
        <w:spacing w:before="100" w:beforeAutospacing="1" w:after="100" w:afterAutospacing="1" w:line="240" w:lineRule="auto"/>
        <w:ind w:firstLine="709"/>
        <w:jc w:val="both"/>
        <w:rPr>
          <w:rFonts w:cs="Traditional Arabic"/>
          <w:sz w:val="40"/>
          <w:szCs w:val="40"/>
          <w:rtl/>
          <w:lang w:bidi="ar-DZ"/>
        </w:rPr>
      </w:pPr>
      <w:r w:rsidRPr="00972A1A">
        <w:rPr>
          <w:rFonts w:cs="Traditional Arabic" w:hint="cs"/>
          <w:b/>
          <w:bCs/>
          <w:sz w:val="40"/>
          <w:szCs w:val="40"/>
          <w:rtl/>
          <w:lang w:bidi="ar-DZ"/>
        </w:rPr>
        <w:t xml:space="preserve">-الإخبارية </w:t>
      </w:r>
      <w:r w:rsidRPr="00B253CD">
        <w:rPr>
          <w:rFonts w:asciiTheme="majorBidi" w:hAnsiTheme="majorBidi" w:cstheme="majorBidi"/>
          <w:b/>
          <w:bCs/>
          <w:sz w:val="28"/>
          <w:szCs w:val="28"/>
          <w:lang w:bidi="ar-DZ"/>
        </w:rPr>
        <w:t>Informative</w:t>
      </w:r>
      <w:r w:rsidRPr="00972A1A">
        <w:rPr>
          <w:rFonts w:cs="Traditional Arabic" w:hint="cs"/>
          <w:b/>
          <w:bCs/>
          <w:sz w:val="40"/>
          <w:szCs w:val="40"/>
          <w:rtl/>
          <w:lang w:bidi="ar-DZ"/>
        </w:rPr>
        <w:t xml:space="preserve">: </w:t>
      </w:r>
      <w:r w:rsidRPr="00972A1A">
        <w:rPr>
          <w:rFonts w:cs="Traditional Arabic" w:hint="cs"/>
          <w:sz w:val="40"/>
          <w:szCs w:val="40"/>
          <w:rtl/>
          <w:lang w:bidi="ar-DZ"/>
        </w:rPr>
        <w:t>ويقتضي هذا المفهوم وجود قدرًا إعلاميّا وإخباريّا مطروحًا في ثنايا الخطاب</w:t>
      </w:r>
    </w:p>
    <w:p w:rsidR="008307A1" w:rsidRPr="00972A1A" w:rsidRDefault="008307A1" w:rsidP="008307A1">
      <w:pPr>
        <w:bidi/>
        <w:spacing w:before="100" w:beforeAutospacing="1" w:after="100" w:afterAutospacing="1" w:line="240" w:lineRule="auto"/>
        <w:ind w:firstLine="709"/>
        <w:jc w:val="both"/>
        <w:rPr>
          <w:rFonts w:cs="Traditional Arabic"/>
          <w:sz w:val="40"/>
          <w:szCs w:val="40"/>
          <w:rtl/>
          <w:lang w:bidi="ar-DZ"/>
        </w:rPr>
      </w:pPr>
      <w:r w:rsidRPr="00972A1A">
        <w:rPr>
          <w:rFonts w:cs="Traditional Arabic" w:hint="cs"/>
          <w:b/>
          <w:bCs/>
          <w:sz w:val="40"/>
          <w:szCs w:val="40"/>
          <w:rtl/>
          <w:lang w:bidi="ar-DZ"/>
        </w:rPr>
        <w:t xml:space="preserve">-الاستحسان </w:t>
      </w:r>
      <w:r w:rsidRPr="00B253CD">
        <w:rPr>
          <w:rFonts w:asciiTheme="majorBidi" w:hAnsiTheme="majorBidi" w:cstheme="majorBidi"/>
          <w:b/>
          <w:bCs/>
          <w:sz w:val="28"/>
          <w:szCs w:val="28"/>
          <w:lang w:bidi="ar-DZ"/>
        </w:rPr>
        <w:t>Acceptabilité</w:t>
      </w:r>
      <w:r w:rsidRPr="00972A1A">
        <w:rPr>
          <w:rFonts w:cs="Traditional Arabic" w:hint="cs"/>
          <w:b/>
          <w:bCs/>
          <w:sz w:val="40"/>
          <w:szCs w:val="40"/>
          <w:rtl/>
          <w:lang w:bidi="ar-DZ"/>
        </w:rPr>
        <w:t>:</w:t>
      </w:r>
      <w:r w:rsidRPr="00972A1A">
        <w:rPr>
          <w:rFonts w:cs="Traditional Arabic" w:hint="cs"/>
          <w:sz w:val="40"/>
          <w:szCs w:val="40"/>
          <w:rtl/>
          <w:lang w:bidi="ar-DZ"/>
        </w:rPr>
        <w:t xml:space="preserve"> ويتحقق من خلال المتلقي من خلال إظهار رأيه للنص، إذ يمكن أن يكون النص / الخطاب مقبولاً (مفهومًا)، كما يمكن أن يكون غير مقبول.</w:t>
      </w:r>
    </w:p>
    <w:p w:rsidR="008307A1" w:rsidRDefault="008307A1" w:rsidP="008307A1">
      <w:pPr>
        <w:bidi/>
        <w:spacing w:after="0" w:line="240" w:lineRule="auto"/>
        <w:ind w:firstLine="709"/>
        <w:jc w:val="both"/>
        <w:rPr>
          <w:rFonts w:cs="Traditional Arabic"/>
          <w:sz w:val="40"/>
          <w:szCs w:val="40"/>
          <w:rtl/>
          <w:lang w:bidi="ar-DZ"/>
        </w:rPr>
      </w:pPr>
      <w:r w:rsidRPr="00972A1A">
        <w:rPr>
          <w:rFonts w:cs="Traditional Arabic" w:hint="cs"/>
          <w:sz w:val="40"/>
          <w:szCs w:val="40"/>
          <w:rtl/>
          <w:lang w:bidi="ar-DZ"/>
        </w:rPr>
        <w:lastRenderedPageBreak/>
        <w:t xml:space="preserve">وفي الأخير بقي أن نذكر أنّ أهم الأهداف المسطرة للسانيات التداولية مرتكزة على تشييد علم يؤطّر النص بوصفه وتحليله واكتشاف وظائفه وما إلى ذلك من المقاربات التي تنم بصلة ما مع النصوص والخطابات، وهو نفسه تصوّر فان ديك الذي يعتبر أنّ اللّسانيات النصيّة والخطابيّة تسعى لبناء "علم النّص" وذلك انطلاقا من مظهرين اثنين (داخلي وخارجي)، فالمظهر الداخلي يتمثل في المستويين (الصوفي </w:t>
      </w:r>
      <w:r w:rsidRPr="00B253CD">
        <w:rPr>
          <w:rFonts w:asciiTheme="majorBidi" w:hAnsiTheme="majorBidi" w:cstheme="majorBidi"/>
          <w:sz w:val="28"/>
          <w:szCs w:val="28"/>
          <w:lang w:bidi="ar-DZ"/>
        </w:rPr>
        <w:t>Phonétique</w:t>
      </w:r>
      <w:r w:rsidRPr="00972A1A">
        <w:rPr>
          <w:rFonts w:cs="Traditional Arabic" w:hint="cs"/>
          <w:sz w:val="40"/>
          <w:szCs w:val="40"/>
          <w:rtl/>
          <w:lang w:bidi="ar-DZ"/>
        </w:rPr>
        <w:t xml:space="preserve">) و(التركيبي </w:t>
      </w:r>
      <w:r w:rsidRPr="00B253CD">
        <w:rPr>
          <w:rFonts w:asciiTheme="majorBidi" w:hAnsiTheme="majorBidi" w:cstheme="majorBidi"/>
          <w:sz w:val="28"/>
          <w:szCs w:val="28"/>
          <w:lang w:bidi="ar-DZ"/>
        </w:rPr>
        <w:t>Syntaxique</w:t>
      </w:r>
      <w:r>
        <w:rPr>
          <w:rFonts w:cs="Traditional Arabic" w:hint="cs"/>
          <w:sz w:val="40"/>
          <w:szCs w:val="40"/>
          <w:rtl/>
          <w:lang w:bidi="ar-DZ"/>
        </w:rPr>
        <w:t>)، أمّا المظهر الخارجي فيتمث</w:t>
      </w:r>
      <w:r w:rsidRPr="00972A1A">
        <w:rPr>
          <w:rFonts w:cs="Traditional Arabic" w:hint="cs"/>
          <w:sz w:val="40"/>
          <w:szCs w:val="40"/>
          <w:rtl/>
          <w:lang w:bidi="ar-DZ"/>
        </w:rPr>
        <w:t>ل في السياق الاجتماعي (</w:t>
      </w:r>
      <w:r w:rsidRPr="00B253CD">
        <w:rPr>
          <w:rFonts w:asciiTheme="majorBidi" w:hAnsiTheme="majorBidi" w:cstheme="majorBidi"/>
          <w:sz w:val="28"/>
          <w:szCs w:val="28"/>
          <w:lang w:bidi="ar-DZ"/>
        </w:rPr>
        <w:t>Socioculturelle</w:t>
      </w:r>
      <w:r w:rsidRPr="00972A1A">
        <w:rPr>
          <w:rFonts w:cs="Traditional Arabic" w:hint="cs"/>
          <w:sz w:val="40"/>
          <w:szCs w:val="40"/>
          <w:rtl/>
          <w:lang w:bidi="ar-DZ"/>
        </w:rPr>
        <w:t>) ذلك أن "النظرية اللّسانية تهتمّ بأنساق اللّغة الطبيعيّة أعني تراكيبها المتحققة أو الممكنة التحقق وتطورها التاريخي وبمختلف أنشطتها الثقافية ووظيفتها المجتمعيّة وأسسها المعرفية، من شأنها تحديد نوع السلوك اللّغوي كما يظهر هو ذاته في استعمال العبارة الكلاميّة اللّفظية في كلّ موقف ومقام تواصلي"</w:t>
      </w:r>
      <w:r w:rsidRPr="00972A1A">
        <w:rPr>
          <w:rFonts w:cs="Traditional Arabic" w:hint="cs"/>
          <w:sz w:val="40"/>
          <w:szCs w:val="40"/>
          <w:vertAlign w:val="superscript"/>
          <w:rtl/>
          <w:lang w:bidi="ar-DZ"/>
        </w:rPr>
        <w:t>(</w:t>
      </w:r>
      <w:r w:rsidRPr="00972A1A">
        <w:rPr>
          <w:rStyle w:val="Appelnotedebasdep"/>
          <w:rFonts w:cs="Traditional Arabic"/>
          <w:sz w:val="40"/>
          <w:szCs w:val="40"/>
          <w:rtl/>
          <w:lang w:bidi="ar-DZ"/>
        </w:rPr>
        <w:footnoteReference w:id="2"/>
      </w:r>
      <w:r w:rsidRPr="00972A1A">
        <w:rPr>
          <w:rFonts w:cs="Traditional Arabic" w:hint="cs"/>
          <w:sz w:val="40"/>
          <w:szCs w:val="40"/>
          <w:vertAlign w:val="superscript"/>
          <w:rtl/>
          <w:lang w:bidi="ar-DZ"/>
        </w:rPr>
        <w:t>)</w:t>
      </w:r>
      <w:r w:rsidRPr="00972A1A">
        <w:rPr>
          <w:rFonts w:cs="Traditional Arabic" w:hint="cs"/>
          <w:sz w:val="40"/>
          <w:szCs w:val="40"/>
          <w:rtl/>
          <w:lang w:bidi="ar-DZ"/>
        </w:rPr>
        <w:t>، بمعنى آخر: إنّ العلم الّذي تسعى إليه اللّسانيات النصيّة (وهو علم النص) يعتمد اعتمادًا كبيرًا على نظريات التواصل كون أنّه يلقي مقارباته على السّلوكات اللغويّة وعلاقاتها بمقتضى الحال في إطار السّياق التواصلي، ممّا يقودنا مباشرة إلى النظريّة التداوليّة وقواعدها التّي تحمل على عاقتها تحديد كيفية الاستخدام المنظم للكلمات والعبارات المتلفظ بها. هذا ما سوف نتعرض إليه في الفصل اللاّحق من هذا البحث.</w:t>
      </w:r>
    </w:p>
    <w:p w:rsidR="008307A1" w:rsidRPr="00005E35" w:rsidRDefault="008307A1" w:rsidP="00374170">
      <w:pPr>
        <w:bidi/>
        <w:spacing w:after="0" w:line="240" w:lineRule="auto"/>
        <w:ind w:firstLine="709"/>
        <w:jc w:val="both"/>
        <w:rPr>
          <w:rFonts w:cs="Traditional Arabic"/>
          <w:b/>
          <w:bCs/>
          <w:sz w:val="40"/>
          <w:szCs w:val="40"/>
          <w:rtl/>
          <w:lang w:bidi="ar-DZ"/>
        </w:rPr>
      </w:pPr>
      <w:r>
        <w:rPr>
          <w:rFonts w:cs="Traditional Arabic" w:hint="cs"/>
          <w:b/>
          <w:bCs/>
          <w:sz w:val="40"/>
          <w:szCs w:val="40"/>
          <w:rtl/>
          <w:lang w:bidi="ar-DZ"/>
        </w:rPr>
        <w:t xml:space="preserve">                     </w:t>
      </w:r>
    </w:p>
    <w:sectPr w:rsidR="008307A1" w:rsidRPr="00005E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D65" w:rsidRDefault="00411D65" w:rsidP="008307A1">
      <w:pPr>
        <w:spacing w:after="0" w:line="240" w:lineRule="auto"/>
      </w:pPr>
      <w:r>
        <w:separator/>
      </w:r>
    </w:p>
  </w:endnote>
  <w:endnote w:type="continuationSeparator" w:id="1">
    <w:p w:rsidR="00411D65" w:rsidRDefault="00411D65" w:rsidP="00830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D65" w:rsidRDefault="00411D65" w:rsidP="008307A1">
      <w:pPr>
        <w:spacing w:after="0" w:line="240" w:lineRule="auto"/>
      </w:pPr>
      <w:r>
        <w:separator/>
      </w:r>
    </w:p>
  </w:footnote>
  <w:footnote w:type="continuationSeparator" w:id="1">
    <w:p w:rsidR="00411D65" w:rsidRDefault="00411D65" w:rsidP="008307A1">
      <w:pPr>
        <w:spacing w:after="0" w:line="240" w:lineRule="auto"/>
      </w:pPr>
      <w:r>
        <w:continuationSeparator/>
      </w:r>
    </w:p>
  </w:footnote>
  <w:footnote w:id="2">
    <w:p w:rsidR="008307A1" w:rsidRDefault="008307A1" w:rsidP="00374170">
      <w:pPr>
        <w:pStyle w:val="Notedebasdepage"/>
        <w:bidi/>
        <w:jc w:val="both"/>
        <w:rPr>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307A1"/>
    <w:rsid w:val="00374170"/>
    <w:rsid w:val="00411D65"/>
    <w:rsid w:val="008307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307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07A1"/>
    <w:rPr>
      <w:sz w:val="20"/>
      <w:szCs w:val="20"/>
    </w:rPr>
  </w:style>
  <w:style w:type="character" w:styleId="Appelnotedebasdep">
    <w:name w:val="footnote reference"/>
    <w:basedOn w:val="Policepardfaut"/>
    <w:uiPriority w:val="99"/>
    <w:semiHidden/>
    <w:unhideWhenUsed/>
    <w:rsid w:val="008307A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1896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3</cp:revision>
  <dcterms:created xsi:type="dcterms:W3CDTF">2021-12-13T23:43:00Z</dcterms:created>
  <dcterms:modified xsi:type="dcterms:W3CDTF">2021-12-13T23:47:00Z</dcterms:modified>
</cp:coreProperties>
</file>