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808" w:rsidRPr="007D4D84" w:rsidRDefault="00C55808" w:rsidP="009E668E">
      <w:pPr>
        <w:bidi/>
        <w:spacing w:after="0" w:line="240" w:lineRule="auto"/>
        <w:jc w:val="both"/>
        <w:rPr>
          <w:rFonts w:cs="Traditional Arabic" w:hint="cs"/>
          <w:b/>
          <w:bCs/>
          <w:sz w:val="40"/>
          <w:szCs w:val="40"/>
          <w:rtl/>
          <w:lang w:bidi="ar-DZ"/>
        </w:rPr>
      </w:pPr>
      <w:r>
        <w:rPr>
          <w:rFonts w:cs="Traditional Arabic" w:hint="cs"/>
          <w:b/>
          <w:bCs/>
          <w:sz w:val="40"/>
          <w:szCs w:val="40"/>
          <w:rtl/>
          <w:lang w:bidi="ar-DZ"/>
        </w:rPr>
        <w:t>أدوات</w:t>
      </w:r>
      <w:r w:rsidRPr="00353E2A">
        <w:rPr>
          <w:rFonts w:cs="Traditional Arabic" w:hint="cs"/>
          <w:b/>
          <w:bCs/>
          <w:sz w:val="40"/>
          <w:szCs w:val="40"/>
          <w:rtl/>
          <w:lang w:bidi="ar-DZ"/>
        </w:rPr>
        <w:t xml:space="preserve"> </w:t>
      </w:r>
      <w:r>
        <w:rPr>
          <w:rFonts w:cs="Traditional Arabic" w:hint="cs"/>
          <w:b/>
          <w:bCs/>
          <w:sz w:val="40"/>
          <w:szCs w:val="40"/>
          <w:rtl/>
          <w:lang w:bidi="ar-DZ"/>
        </w:rPr>
        <w:t>اتساق النص</w:t>
      </w:r>
      <w:r w:rsidRPr="00005E35">
        <w:rPr>
          <w:rFonts w:cs="Traditional Arabic" w:hint="cs"/>
          <w:b/>
          <w:bCs/>
          <w:sz w:val="40"/>
          <w:szCs w:val="40"/>
          <w:rtl/>
          <w:lang w:bidi="ar-DZ"/>
        </w:rPr>
        <w:t xml:space="preserve"> </w:t>
      </w:r>
      <w:r w:rsidRPr="007D4D84">
        <w:rPr>
          <w:rFonts w:cs="Traditional Arabic" w:hint="cs"/>
          <w:b/>
          <w:bCs/>
          <w:sz w:val="40"/>
          <w:szCs w:val="40"/>
          <w:rtl/>
          <w:lang w:bidi="ar-DZ"/>
        </w:rPr>
        <w:t>عند هاليداي ورقيّة حسن</w:t>
      </w:r>
      <w:r>
        <w:rPr>
          <w:rFonts w:cs="Traditional Arabic" w:hint="cs"/>
          <w:b/>
          <w:bCs/>
          <w:sz w:val="40"/>
          <w:szCs w:val="40"/>
          <w:rtl/>
          <w:lang w:bidi="ar-DZ"/>
        </w:rPr>
        <w:t xml:space="preserve"> :</w:t>
      </w:r>
    </w:p>
    <w:p w:rsidR="00C55808" w:rsidRPr="00353E2A" w:rsidRDefault="00C55808" w:rsidP="00C55808">
      <w:pPr>
        <w:bidi/>
        <w:spacing w:after="0" w:line="240" w:lineRule="auto"/>
        <w:ind w:firstLine="709"/>
        <w:jc w:val="both"/>
        <w:rPr>
          <w:rFonts w:cs="Traditional Arabic"/>
          <w:sz w:val="40"/>
          <w:szCs w:val="40"/>
          <w:rtl/>
          <w:lang w:bidi="ar-DZ"/>
        </w:rPr>
      </w:pPr>
      <w:r w:rsidRPr="00353E2A">
        <w:rPr>
          <w:rFonts w:cs="Traditional Arabic" w:hint="cs"/>
          <w:sz w:val="40"/>
          <w:szCs w:val="40"/>
          <w:rtl/>
          <w:lang w:bidi="ar-DZ"/>
        </w:rPr>
        <w:t>بالنسبة للأدوات التّي يعتبرها الباحثين بأنها كفيلة لتحقيق الاتساق فهي:</w:t>
      </w:r>
    </w:p>
    <w:p w:rsidR="00C55808" w:rsidRPr="00353E2A" w:rsidRDefault="00C55808" w:rsidP="009E668E">
      <w:pPr>
        <w:bidi/>
        <w:spacing w:before="100" w:beforeAutospacing="1" w:after="100" w:afterAutospacing="1" w:line="240" w:lineRule="auto"/>
        <w:ind w:firstLine="709"/>
        <w:jc w:val="both"/>
        <w:rPr>
          <w:rFonts w:cs="Traditional Arabic"/>
          <w:sz w:val="40"/>
          <w:szCs w:val="40"/>
          <w:rtl/>
          <w:lang w:bidi="ar-DZ"/>
        </w:rPr>
      </w:pPr>
      <w:r w:rsidRPr="00353E2A">
        <w:rPr>
          <w:rFonts w:cs="Traditional Arabic" w:hint="cs"/>
          <w:b/>
          <w:bCs/>
          <w:sz w:val="40"/>
          <w:szCs w:val="40"/>
          <w:rtl/>
          <w:lang w:bidi="ar-DZ"/>
        </w:rPr>
        <w:t xml:space="preserve">1-الإحالة </w:t>
      </w:r>
      <w:r w:rsidRPr="002B3073">
        <w:rPr>
          <w:rFonts w:asciiTheme="majorBidi" w:hAnsiTheme="majorBidi" w:cstheme="majorBidi"/>
          <w:b/>
          <w:bCs/>
          <w:sz w:val="28"/>
          <w:szCs w:val="28"/>
          <w:lang w:bidi="ar-DZ"/>
        </w:rPr>
        <w:t>référence</w:t>
      </w:r>
      <w:r w:rsidRPr="00353E2A">
        <w:rPr>
          <w:rFonts w:cs="Traditional Arabic" w:hint="cs"/>
          <w:b/>
          <w:bCs/>
          <w:sz w:val="40"/>
          <w:szCs w:val="40"/>
          <w:rtl/>
          <w:lang w:bidi="ar-DZ"/>
        </w:rPr>
        <w:t>:</w:t>
      </w:r>
      <w:r w:rsidRPr="00353E2A">
        <w:rPr>
          <w:rFonts w:cs="Traditional Arabic" w:hint="cs"/>
          <w:sz w:val="40"/>
          <w:szCs w:val="40"/>
          <w:rtl/>
          <w:lang w:bidi="ar-DZ"/>
        </w:rPr>
        <w:t xml:space="preserve"> وهي مجموعة من العناصر التّي تفرض على المتلقي (السّامع/ للقارئ/ الناقد/ المحلّل) معرفة مرجع معيّن كالضمائر وأسماء الإشارة، وأدوات المقارنة) وهذا عند محاولته تأويل هذه العناصر</w:t>
      </w:r>
      <w:r w:rsidRPr="00353E2A">
        <w:rPr>
          <w:rFonts w:cs="Traditional Arabic" w:hint="cs"/>
          <w:sz w:val="40"/>
          <w:szCs w:val="40"/>
          <w:vertAlign w:val="superscript"/>
          <w:rtl/>
          <w:lang w:bidi="ar-DZ"/>
        </w:rPr>
        <w:t>(</w:t>
      </w:r>
      <w:r w:rsidRPr="00353E2A">
        <w:rPr>
          <w:rFonts w:cs="Traditional Arabic" w:hint="cs"/>
          <w:sz w:val="40"/>
          <w:szCs w:val="40"/>
          <w:rtl/>
          <w:lang w:bidi="ar-DZ"/>
        </w:rPr>
        <w:t>وتنقسم الإحالة إلى ضربين.</w:t>
      </w:r>
    </w:p>
    <w:p w:rsidR="00C55808" w:rsidRPr="00353E2A" w:rsidRDefault="00C55808" w:rsidP="00C55808">
      <w:pPr>
        <w:bidi/>
        <w:spacing w:after="0" w:line="240" w:lineRule="auto"/>
        <w:ind w:firstLine="709"/>
        <w:jc w:val="both"/>
        <w:rPr>
          <w:rFonts w:cs="Traditional Arabic"/>
          <w:sz w:val="40"/>
          <w:szCs w:val="40"/>
          <w:rtl/>
          <w:lang w:bidi="ar-DZ"/>
        </w:rPr>
      </w:pPr>
      <w:r>
        <w:rPr>
          <w:rFonts w:cs="Traditional Arabic" w:hint="cs"/>
          <w:b/>
          <w:bCs/>
          <w:sz w:val="40"/>
          <w:szCs w:val="40"/>
          <w:rtl/>
          <w:lang w:bidi="ar-DZ"/>
        </w:rPr>
        <w:t>أ</w:t>
      </w:r>
      <w:r w:rsidRPr="00353E2A">
        <w:rPr>
          <w:rFonts w:cs="Traditional Arabic" w:hint="cs"/>
          <w:b/>
          <w:bCs/>
          <w:sz w:val="40"/>
          <w:szCs w:val="40"/>
          <w:rtl/>
          <w:lang w:bidi="ar-DZ"/>
        </w:rPr>
        <w:t>-الإحالة المقامية</w:t>
      </w:r>
      <w:r w:rsidRPr="00353E2A">
        <w:rPr>
          <w:rFonts w:asciiTheme="majorBidi" w:hAnsiTheme="majorBidi" w:cstheme="majorBidi"/>
          <w:b/>
          <w:bCs/>
          <w:sz w:val="40"/>
          <w:szCs w:val="40"/>
          <w:rtl/>
          <w:lang w:bidi="ar-DZ"/>
        </w:rPr>
        <w:t xml:space="preserve"> </w:t>
      </w:r>
      <w:r w:rsidRPr="002B3073">
        <w:rPr>
          <w:rFonts w:asciiTheme="majorBidi" w:hAnsiTheme="majorBidi" w:cstheme="majorBidi"/>
          <w:b/>
          <w:bCs/>
          <w:sz w:val="28"/>
          <w:szCs w:val="28"/>
          <w:lang w:bidi="ar-DZ"/>
        </w:rPr>
        <w:t>exofora</w:t>
      </w:r>
      <w:r w:rsidRPr="00353E2A">
        <w:rPr>
          <w:rFonts w:cs="Traditional Arabic" w:hint="cs"/>
          <w:b/>
          <w:bCs/>
          <w:sz w:val="40"/>
          <w:szCs w:val="40"/>
          <w:rtl/>
          <w:lang w:bidi="ar-DZ"/>
        </w:rPr>
        <w:t xml:space="preserve">: </w:t>
      </w:r>
      <w:r w:rsidRPr="00353E2A">
        <w:rPr>
          <w:rFonts w:cs="Traditional Arabic" w:hint="cs"/>
          <w:sz w:val="40"/>
          <w:szCs w:val="40"/>
          <w:rtl/>
          <w:lang w:bidi="ar-DZ"/>
        </w:rPr>
        <w:t>ويتجلى دورها عند الإحالة على خارج النّص.</w:t>
      </w:r>
    </w:p>
    <w:p w:rsidR="00C55808" w:rsidRPr="00353E2A" w:rsidRDefault="00C55808" w:rsidP="009E668E">
      <w:pPr>
        <w:bidi/>
        <w:spacing w:after="0" w:line="240" w:lineRule="auto"/>
        <w:ind w:firstLine="709"/>
        <w:jc w:val="both"/>
        <w:rPr>
          <w:rFonts w:cs="Traditional Arabic"/>
          <w:sz w:val="40"/>
          <w:szCs w:val="40"/>
          <w:rtl/>
          <w:lang w:bidi="ar-DZ"/>
        </w:rPr>
      </w:pPr>
      <w:r>
        <w:rPr>
          <w:rFonts w:cs="Traditional Arabic" w:hint="cs"/>
          <w:b/>
          <w:bCs/>
          <w:sz w:val="40"/>
          <w:szCs w:val="40"/>
          <w:rtl/>
          <w:lang w:bidi="ar-DZ"/>
        </w:rPr>
        <w:t>ب</w:t>
      </w:r>
      <w:r w:rsidRPr="00353E2A">
        <w:rPr>
          <w:rFonts w:cs="Traditional Arabic" w:hint="cs"/>
          <w:b/>
          <w:bCs/>
          <w:sz w:val="40"/>
          <w:szCs w:val="40"/>
          <w:rtl/>
          <w:lang w:bidi="ar-DZ"/>
        </w:rPr>
        <w:t xml:space="preserve">-الإحالة المقاليّة </w:t>
      </w:r>
      <w:r w:rsidRPr="002B3073">
        <w:rPr>
          <w:rFonts w:asciiTheme="majorBidi" w:hAnsiTheme="majorBidi" w:cstheme="majorBidi"/>
          <w:b/>
          <w:bCs/>
          <w:sz w:val="28"/>
          <w:szCs w:val="28"/>
          <w:lang w:bidi="ar-DZ"/>
        </w:rPr>
        <w:t>endofora</w:t>
      </w:r>
      <w:r w:rsidRPr="00353E2A">
        <w:rPr>
          <w:rFonts w:cs="Traditional Arabic" w:hint="cs"/>
          <w:b/>
          <w:bCs/>
          <w:sz w:val="40"/>
          <w:szCs w:val="40"/>
          <w:rtl/>
          <w:lang w:bidi="ar-DZ"/>
        </w:rPr>
        <w:t>:</w:t>
      </w:r>
      <w:r w:rsidRPr="00353E2A">
        <w:rPr>
          <w:rFonts w:cs="Traditional Arabic" w:hint="cs"/>
          <w:sz w:val="40"/>
          <w:szCs w:val="40"/>
          <w:rtl/>
          <w:lang w:bidi="ar-DZ"/>
        </w:rPr>
        <w:t xml:space="preserve"> وهي مرتبطة بالإحالة على عناصر يتضمنها النص وتنقسم هذه الإحالة بدورها إلى نوعين: إحالة مقالية قبليّة </w:t>
      </w:r>
      <w:r w:rsidRPr="002B3073">
        <w:rPr>
          <w:rFonts w:asciiTheme="majorBidi" w:hAnsiTheme="majorBidi" w:cstheme="majorBidi"/>
          <w:sz w:val="28"/>
          <w:szCs w:val="28"/>
          <w:lang w:bidi="ar-DZ"/>
        </w:rPr>
        <w:t>Anaphora</w:t>
      </w:r>
      <w:r w:rsidRPr="00353E2A">
        <w:rPr>
          <w:rFonts w:cs="Traditional Arabic" w:hint="cs"/>
          <w:sz w:val="40"/>
          <w:szCs w:val="40"/>
          <w:rtl/>
          <w:lang w:bidi="ar-DZ"/>
        </w:rPr>
        <w:t xml:space="preserve"> وإحالة مقالية بعديّة </w:t>
      </w:r>
      <w:r w:rsidRPr="002B3073">
        <w:rPr>
          <w:rFonts w:asciiTheme="majorBidi" w:hAnsiTheme="majorBidi" w:cstheme="majorBidi"/>
          <w:sz w:val="28"/>
          <w:szCs w:val="28"/>
          <w:lang w:bidi="ar-DZ"/>
        </w:rPr>
        <w:t>Cataphora</w:t>
      </w:r>
      <w:r w:rsidRPr="00353E2A">
        <w:rPr>
          <w:rFonts w:cs="Traditional Arabic" w:hint="cs"/>
          <w:sz w:val="40"/>
          <w:szCs w:val="40"/>
          <w:rtl/>
          <w:lang w:bidi="ar-DZ"/>
        </w:rPr>
        <w:t>. ويعتبر هاليداي ورقيّة حسن أنّ هذا الضرب المتمثل في الإحالة المقامية لا ينطوي على دور في تحقيق اتساق النص، عكس الإحالة المقالية التي تحقق ترابطه واتساقه</w:t>
      </w:r>
      <w:r w:rsidRPr="00353E2A">
        <w:rPr>
          <w:rFonts w:cs="Traditional Arabic" w:hint="cs"/>
          <w:sz w:val="40"/>
          <w:szCs w:val="40"/>
          <w:vertAlign w:val="superscript"/>
          <w:rtl/>
          <w:lang w:bidi="ar-DZ"/>
        </w:rPr>
        <w:t>()</w:t>
      </w:r>
      <w:r w:rsidRPr="00353E2A">
        <w:rPr>
          <w:rFonts w:cs="Traditional Arabic" w:hint="cs"/>
          <w:sz w:val="40"/>
          <w:szCs w:val="40"/>
          <w:rtl/>
          <w:lang w:bidi="ar-DZ"/>
        </w:rPr>
        <w:t xml:space="preserve">.  </w:t>
      </w:r>
    </w:p>
    <w:p w:rsidR="00C55808" w:rsidRPr="00353E2A" w:rsidRDefault="00C55808" w:rsidP="009E668E">
      <w:pPr>
        <w:bidi/>
        <w:spacing w:before="100" w:beforeAutospacing="1" w:after="100" w:afterAutospacing="1" w:line="240" w:lineRule="auto"/>
        <w:ind w:firstLine="709"/>
        <w:jc w:val="both"/>
        <w:rPr>
          <w:rFonts w:cs="Traditional Arabic"/>
          <w:sz w:val="40"/>
          <w:szCs w:val="40"/>
          <w:rtl/>
          <w:lang w:bidi="ar-DZ"/>
        </w:rPr>
      </w:pPr>
      <w:r w:rsidRPr="00353E2A">
        <w:rPr>
          <w:rFonts w:cs="Traditional Arabic" w:hint="cs"/>
          <w:sz w:val="40"/>
          <w:szCs w:val="40"/>
          <w:rtl/>
          <w:lang w:bidi="ar-DZ"/>
        </w:rPr>
        <w:t xml:space="preserve">ولتبسيط هذا التصوّر المتعلق بالإحالة ونوعيها وتفرعاتها، وضع الباحثان رسمًا تخطيطيّا يوضّح هذا التقسيم، </w:t>
      </w:r>
      <w:r>
        <w:rPr>
          <w:rFonts w:cs="Traditional Arabic" w:hint="cs"/>
          <w:sz w:val="40"/>
          <w:szCs w:val="40"/>
          <w:rtl/>
          <w:lang w:bidi="ar-DZ"/>
        </w:rPr>
        <w:t>نسوقه في الأسفل مع بعض التعديل ا</w:t>
      </w:r>
      <w:r w:rsidRPr="00353E2A">
        <w:rPr>
          <w:rFonts w:cs="Traditional Arabic" w:hint="cs"/>
          <w:sz w:val="40"/>
          <w:szCs w:val="40"/>
          <w:rtl/>
          <w:lang w:bidi="ar-DZ"/>
        </w:rPr>
        <w:t>لطفيف</w:t>
      </w:r>
      <w:r w:rsidRPr="00353E2A">
        <w:rPr>
          <w:rFonts w:cs="Traditional Arabic" w:hint="cs"/>
          <w:sz w:val="40"/>
          <w:szCs w:val="40"/>
          <w:vertAlign w:val="superscript"/>
          <w:rtl/>
          <w:lang w:bidi="ar-DZ"/>
        </w:rPr>
        <w:t>(</w:t>
      </w:r>
      <w:r w:rsidRPr="00353E2A">
        <w:rPr>
          <w:rFonts w:cs="Traditional Arabic" w:hint="cs"/>
          <w:sz w:val="40"/>
          <w:szCs w:val="40"/>
          <w:rtl/>
          <w:lang w:bidi="ar-DZ"/>
        </w:rPr>
        <w:t>.</w:t>
      </w:r>
    </w:p>
    <w:p w:rsidR="00C55808" w:rsidRPr="00353E2A" w:rsidRDefault="00C55808" w:rsidP="00C55808">
      <w:pPr>
        <w:bidi/>
        <w:spacing w:after="0" w:line="240" w:lineRule="auto"/>
        <w:ind w:firstLine="709"/>
        <w:jc w:val="both"/>
        <w:rPr>
          <w:rFonts w:cs="Traditional Arabic"/>
          <w:sz w:val="40"/>
          <w:szCs w:val="40"/>
          <w:rtl/>
          <w:lang w:bidi="ar-DZ"/>
        </w:rPr>
      </w:pPr>
    </w:p>
    <w:p w:rsidR="00C55808" w:rsidRPr="00353E2A" w:rsidRDefault="00C55808" w:rsidP="00C55808">
      <w:pPr>
        <w:bidi/>
        <w:spacing w:after="0" w:line="240" w:lineRule="auto"/>
        <w:ind w:firstLine="709"/>
        <w:jc w:val="both"/>
        <w:rPr>
          <w:rFonts w:cs="Traditional Arabic"/>
          <w:sz w:val="40"/>
          <w:szCs w:val="40"/>
          <w:rtl/>
          <w:lang w:bidi="ar-DZ"/>
        </w:rPr>
      </w:pPr>
      <w:r>
        <w:rPr>
          <w:rFonts w:cs="Traditional Arabic"/>
          <w:noProof/>
          <w:sz w:val="40"/>
          <w:szCs w:val="40"/>
          <w:rtl/>
        </w:rPr>
        <w:pict>
          <v:group id="_x0000_s1026" style="position:absolute;left:0;text-align:left;margin-left:-15.6pt;margin-top:-5.95pt;width:412.6pt;height:187.5pt;z-index:251658240" coordorigin="1379,7236" coordsize="8252,3750">
            <v:shapetype id="_x0000_t202" coordsize="21600,21600" o:spt="202" path="m,l,21600r21600,l21600,xe">
              <v:stroke joinstyle="miter"/>
              <v:path gradientshapeok="t" o:connecttype="rect"/>
            </v:shapetype>
            <v:shape id="_x0000_s1027" type="#_x0000_t202" style="position:absolute;left:5246;top:7236;width:1415;height:701" filled="f" stroked="f">
              <v:textbox>
                <w:txbxContent>
                  <w:p w:rsidR="00C55808" w:rsidRPr="00D12BF5" w:rsidRDefault="00C55808" w:rsidP="00C55808">
                    <w:pPr>
                      <w:bidi/>
                      <w:jc w:val="center"/>
                      <w:rPr>
                        <w:rFonts w:cs="Traditional Arabic"/>
                        <w:sz w:val="36"/>
                        <w:szCs w:val="36"/>
                        <w:lang w:bidi="ar-DZ"/>
                      </w:rPr>
                    </w:pPr>
                    <w:r>
                      <w:rPr>
                        <w:rFonts w:cs="Traditional Arabic" w:hint="cs"/>
                        <w:sz w:val="36"/>
                        <w:szCs w:val="36"/>
                        <w:rtl/>
                        <w:lang w:bidi="ar-DZ"/>
                      </w:rPr>
                      <w:t>الإحالة</w:t>
                    </w:r>
                  </w:p>
                </w:txbxContent>
              </v:textbox>
            </v:shape>
            <v:shape id="_x0000_s1028" type="#_x0000_t202" style="position:absolute;left:7153;top:8164;width:2478;height:1265" filled="f" stroked="f">
              <v:textbox>
                <w:txbxContent>
                  <w:p w:rsidR="00C55808" w:rsidRDefault="00C55808" w:rsidP="00C55808">
                    <w:pPr>
                      <w:bidi/>
                      <w:spacing w:after="0" w:line="240" w:lineRule="auto"/>
                      <w:jc w:val="center"/>
                      <w:rPr>
                        <w:rFonts w:cs="Traditional Arabic"/>
                        <w:sz w:val="36"/>
                        <w:szCs w:val="36"/>
                        <w:rtl/>
                        <w:lang w:bidi="ar-DZ"/>
                      </w:rPr>
                    </w:pPr>
                    <w:r>
                      <w:rPr>
                        <w:rFonts w:cs="Traditional Arabic" w:hint="cs"/>
                        <w:sz w:val="36"/>
                        <w:szCs w:val="36"/>
                        <w:rtl/>
                        <w:lang w:bidi="ar-DZ"/>
                      </w:rPr>
                      <w:t>(المقامية)</w:t>
                    </w:r>
                  </w:p>
                  <w:p w:rsidR="00C55808" w:rsidRPr="00D12BF5" w:rsidRDefault="00C55808" w:rsidP="00C55808">
                    <w:pPr>
                      <w:bidi/>
                      <w:spacing w:after="0" w:line="240" w:lineRule="auto"/>
                      <w:jc w:val="center"/>
                      <w:rPr>
                        <w:rFonts w:cs="Traditional Arabic"/>
                        <w:sz w:val="36"/>
                        <w:szCs w:val="36"/>
                        <w:lang w:bidi="ar-DZ"/>
                      </w:rPr>
                    </w:pPr>
                    <w:r>
                      <w:rPr>
                        <w:rFonts w:cs="Traditional Arabic" w:hint="cs"/>
                        <w:sz w:val="36"/>
                        <w:szCs w:val="36"/>
                        <w:rtl/>
                        <w:lang w:bidi="ar-DZ"/>
                      </w:rPr>
                      <w:t>إحالة إلى خارج النص</w:t>
                    </w:r>
                  </w:p>
                </w:txbxContent>
              </v:textbox>
            </v:shape>
            <v:shape id="_x0000_s1029" type="#_x0000_t202" style="position:absolute;left:2768;top:8164;width:2478;height:1265" filled="f" stroked="f">
              <v:textbox>
                <w:txbxContent>
                  <w:p w:rsidR="00C55808" w:rsidRDefault="00C55808" w:rsidP="00C55808">
                    <w:pPr>
                      <w:bidi/>
                      <w:spacing w:after="0" w:line="240" w:lineRule="auto"/>
                      <w:jc w:val="center"/>
                      <w:rPr>
                        <w:rFonts w:cs="Traditional Arabic"/>
                        <w:sz w:val="36"/>
                        <w:szCs w:val="36"/>
                        <w:rtl/>
                        <w:lang w:bidi="ar-DZ"/>
                      </w:rPr>
                    </w:pPr>
                    <w:r>
                      <w:rPr>
                        <w:rFonts w:cs="Traditional Arabic" w:hint="cs"/>
                        <w:sz w:val="36"/>
                        <w:szCs w:val="36"/>
                        <w:rtl/>
                        <w:lang w:bidi="ar-DZ"/>
                      </w:rPr>
                      <w:t>النصيّة (المقامية)</w:t>
                    </w:r>
                  </w:p>
                  <w:p w:rsidR="00C55808" w:rsidRPr="00D12BF5" w:rsidRDefault="00C55808" w:rsidP="00C55808">
                    <w:pPr>
                      <w:bidi/>
                      <w:spacing w:after="0" w:line="240" w:lineRule="auto"/>
                      <w:jc w:val="center"/>
                      <w:rPr>
                        <w:rFonts w:cs="Traditional Arabic"/>
                        <w:sz w:val="36"/>
                        <w:szCs w:val="36"/>
                        <w:lang w:bidi="ar-DZ"/>
                      </w:rPr>
                    </w:pPr>
                    <w:r>
                      <w:rPr>
                        <w:rFonts w:cs="Traditional Arabic" w:hint="cs"/>
                        <w:sz w:val="36"/>
                        <w:szCs w:val="36"/>
                        <w:rtl/>
                        <w:lang w:bidi="ar-DZ"/>
                      </w:rPr>
                      <w:t>إحالة إلى داخل النص</w:t>
                    </w:r>
                  </w:p>
                </w:txbxContent>
              </v:textbox>
            </v:shape>
            <v:shapetype id="_x0000_t32" coordsize="21600,21600" o:spt="32" o:oned="t" path="m,l21600,21600e" filled="f">
              <v:path arrowok="t" fillok="f" o:connecttype="none"/>
              <o:lock v:ext="edit" shapetype="t"/>
            </v:shapetype>
            <v:shape id="_x0000_s1030" type="#_x0000_t32" style="position:absolute;left:5910;top:7747;width:0;height:288" o:connectortype="straight"/>
            <v:shape id="_x0000_s1031" type="#_x0000_t32" style="position:absolute;left:8377;top:8037;width:0;height:288" o:connectortype="straight"/>
            <v:shape id="_x0000_s1032" type="#_x0000_t32" style="position:absolute;left:4032;top:8037;width:0;height:288" o:connectortype="straight"/>
            <v:shape id="_x0000_s1033" type="#_x0000_t32" style="position:absolute;left:4032;top:8037;width:4345;height:0;flip:x" o:connectortype="straight"/>
            <v:shape id="_x0000_s1034" type="#_x0000_t32" style="position:absolute;left:4032;top:9327;width:0;height:288" o:connectortype="straight"/>
            <v:shape id="_x0000_s1035" type="#_x0000_t202" style="position:absolute;left:4346;top:9721;width:2478;height:1265" filled="f" stroked="f">
              <v:textbox>
                <w:txbxContent>
                  <w:p w:rsidR="00C55808" w:rsidRDefault="00C55808" w:rsidP="00C55808">
                    <w:pPr>
                      <w:bidi/>
                      <w:spacing w:after="0" w:line="240" w:lineRule="auto"/>
                      <w:jc w:val="center"/>
                      <w:rPr>
                        <w:rFonts w:cs="Traditional Arabic"/>
                        <w:sz w:val="36"/>
                        <w:szCs w:val="36"/>
                        <w:rtl/>
                        <w:lang w:bidi="ar-DZ"/>
                      </w:rPr>
                    </w:pPr>
                    <w:r>
                      <w:rPr>
                        <w:rFonts w:cs="Traditional Arabic" w:hint="cs"/>
                        <w:sz w:val="36"/>
                        <w:szCs w:val="36"/>
                        <w:rtl/>
                        <w:lang w:bidi="ar-DZ"/>
                      </w:rPr>
                      <w:t>(إلى سابق)</w:t>
                    </w:r>
                  </w:p>
                  <w:p w:rsidR="00C55808" w:rsidRPr="00D12BF5" w:rsidRDefault="00C55808" w:rsidP="00C55808">
                    <w:pPr>
                      <w:bidi/>
                      <w:spacing w:after="0" w:line="240" w:lineRule="auto"/>
                      <w:jc w:val="center"/>
                      <w:rPr>
                        <w:rFonts w:cs="Traditional Arabic"/>
                        <w:sz w:val="36"/>
                        <w:szCs w:val="36"/>
                        <w:lang w:bidi="ar-DZ"/>
                      </w:rPr>
                    </w:pPr>
                    <w:r>
                      <w:rPr>
                        <w:rFonts w:cs="Traditional Arabic" w:hint="cs"/>
                        <w:sz w:val="36"/>
                        <w:szCs w:val="36"/>
                        <w:rtl/>
                        <w:lang w:bidi="ar-DZ"/>
                      </w:rPr>
                      <w:t xml:space="preserve">قبلية </w:t>
                    </w:r>
                    <w:r w:rsidRPr="00926470">
                      <w:rPr>
                        <w:rFonts w:asciiTheme="majorBidi" w:hAnsiTheme="majorBidi" w:cstheme="majorBidi"/>
                        <w:sz w:val="26"/>
                        <w:szCs w:val="26"/>
                        <w:lang w:bidi="ar-DZ"/>
                      </w:rPr>
                      <w:t>Anaphora</w:t>
                    </w:r>
                  </w:p>
                </w:txbxContent>
              </v:textbox>
            </v:shape>
            <v:shape id="_x0000_s1036" type="#_x0000_t202" style="position:absolute;left:1379;top:9721;width:2478;height:1265" filled="f" stroked="f">
              <v:textbox>
                <w:txbxContent>
                  <w:p w:rsidR="00C55808" w:rsidRDefault="00C55808" w:rsidP="00C55808">
                    <w:pPr>
                      <w:bidi/>
                      <w:spacing w:after="0" w:line="240" w:lineRule="auto"/>
                      <w:jc w:val="center"/>
                      <w:rPr>
                        <w:rFonts w:cs="Traditional Arabic"/>
                        <w:sz w:val="36"/>
                        <w:szCs w:val="36"/>
                        <w:rtl/>
                        <w:lang w:bidi="ar-DZ"/>
                      </w:rPr>
                    </w:pPr>
                    <w:r>
                      <w:rPr>
                        <w:rFonts w:cs="Traditional Arabic" w:hint="cs"/>
                        <w:sz w:val="36"/>
                        <w:szCs w:val="36"/>
                        <w:rtl/>
                        <w:lang w:bidi="ar-DZ"/>
                      </w:rPr>
                      <w:t>(إلى لاحق)</w:t>
                    </w:r>
                  </w:p>
                  <w:p w:rsidR="00C55808" w:rsidRPr="00D12BF5" w:rsidRDefault="00C55808" w:rsidP="00C55808">
                    <w:pPr>
                      <w:bidi/>
                      <w:spacing w:after="0" w:line="240" w:lineRule="auto"/>
                      <w:jc w:val="center"/>
                      <w:rPr>
                        <w:rFonts w:cs="Traditional Arabic"/>
                        <w:sz w:val="36"/>
                        <w:szCs w:val="36"/>
                        <w:lang w:bidi="ar-DZ"/>
                      </w:rPr>
                    </w:pPr>
                    <w:r>
                      <w:rPr>
                        <w:rFonts w:cs="Traditional Arabic" w:hint="cs"/>
                        <w:sz w:val="36"/>
                        <w:szCs w:val="36"/>
                        <w:rtl/>
                        <w:lang w:bidi="ar-DZ"/>
                      </w:rPr>
                      <w:t xml:space="preserve">بعيدية </w:t>
                    </w:r>
                    <w:r>
                      <w:rPr>
                        <w:rFonts w:asciiTheme="majorBidi" w:hAnsiTheme="majorBidi" w:cstheme="majorBidi"/>
                        <w:sz w:val="26"/>
                        <w:szCs w:val="26"/>
                        <w:lang w:bidi="ar-DZ"/>
                      </w:rPr>
                      <w:t>Cataphora</w:t>
                    </w:r>
                  </w:p>
                </w:txbxContent>
              </v:textbox>
            </v:shape>
            <v:shape id="_x0000_s1037" type="#_x0000_t32" style="position:absolute;left:5585;top:9619;width:0;height:288" o:connectortype="straight"/>
            <v:shape id="_x0000_s1038" type="#_x0000_t32" style="position:absolute;left:2705;top:9619;width:0;height:288" o:connectortype="straight"/>
            <v:shape id="_x0000_s1039" type="#_x0000_t32" style="position:absolute;left:2705;top:9619;width:2880;height:0;flip:x" o:connectortype="straight"/>
          </v:group>
        </w:pict>
      </w:r>
    </w:p>
    <w:p w:rsidR="00C55808" w:rsidRPr="00353E2A" w:rsidRDefault="00C55808" w:rsidP="00C55808">
      <w:pPr>
        <w:bidi/>
        <w:spacing w:after="0" w:line="240" w:lineRule="auto"/>
        <w:ind w:firstLine="709"/>
        <w:jc w:val="both"/>
        <w:rPr>
          <w:rFonts w:cs="Traditional Arabic"/>
          <w:sz w:val="40"/>
          <w:szCs w:val="40"/>
          <w:rtl/>
          <w:lang w:bidi="ar-DZ"/>
        </w:rPr>
      </w:pPr>
    </w:p>
    <w:p w:rsidR="00C55808" w:rsidRPr="00353E2A" w:rsidRDefault="00C55808" w:rsidP="00C55808">
      <w:pPr>
        <w:bidi/>
        <w:spacing w:after="0" w:line="240" w:lineRule="auto"/>
        <w:ind w:firstLine="709"/>
        <w:jc w:val="both"/>
        <w:rPr>
          <w:rFonts w:cs="Traditional Arabic"/>
          <w:sz w:val="40"/>
          <w:szCs w:val="40"/>
          <w:rtl/>
          <w:lang w:bidi="ar-DZ"/>
        </w:rPr>
      </w:pPr>
    </w:p>
    <w:p w:rsidR="00C55808" w:rsidRPr="00353E2A" w:rsidRDefault="00C55808" w:rsidP="00C55808">
      <w:pPr>
        <w:bidi/>
        <w:spacing w:after="0" w:line="240" w:lineRule="auto"/>
        <w:ind w:firstLine="709"/>
        <w:jc w:val="both"/>
        <w:rPr>
          <w:rFonts w:cs="Traditional Arabic"/>
          <w:sz w:val="40"/>
          <w:szCs w:val="40"/>
          <w:rtl/>
          <w:lang w:bidi="ar-DZ"/>
        </w:rPr>
      </w:pPr>
    </w:p>
    <w:p w:rsidR="00C55808" w:rsidRDefault="00C55808" w:rsidP="00C55808">
      <w:pPr>
        <w:bidi/>
        <w:spacing w:after="0" w:line="240" w:lineRule="auto"/>
        <w:ind w:firstLine="709"/>
        <w:jc w:val="both"/>
        <w:rPr>
          <w:rFonts w:cs="Traditional Arabic"/>
          <w:sz w:val="40"/>
          <w:szCs w:val="40"/>
          <w:rtl/>
          <w:lang w:bidi="ar-DZ"/>
        </w:rPr>
      </w:pPr>
    </w:p>
    <w:p w:rsidR="00C55808" w:rsidRDefault="00C55808" w:rsidP="00C55808">
      <w:pPr>
        <w:bidi/>
        <w:spacing w:after="0" w:line="240" w:lineRule="auto"/>
        <w:ind w:firstLine="709"/>
        <w:jc w:val="both"/>
        <w:rPr>
          <w:rFonts w:cs="Traditional Arabic"/>
          <w:sz w:val="40"/>
          <w:szCs w:val="40"/>
          <w:rtl/>
          <w:lang w:bidi="ar-DZ"/>
        </w:rPr>
      </w:pPr>
    </w:p>
    <w:p w:rsidR="00C55808" w:rsidRDefault="00C55808" w:rsidP="00C55808">
      <w:pPr>
        <w:bidi/>
        <w:spacing w:after="0" w:line="240" w:lineRule="auto"/>
        <w:ind w:firstLine="709"/>
        <w:jc w:val="both"/>
        <w:rPr>
          <w:rFonts w:cs="Traditional Arabic"/>
          <w:sz w:val="40"/>
          <w:szCs w:val="40"/>
          <w:rtl/>
          <w:lang w:bidi="ar-DZ"/>
        </w:rPr>
      </w:pPr>
    </w:p>
    <w:p w:rsidR="00C55808" w:rsidRPr="00353E2A" w:rsidRDefault="00C55808" w:rsidP="009E668E">
      <w:pPr>
        <w:bidi/>
        <w:spacing w:after="0" w:line="240" w:lineRule="auto"/>
        <w:ind w:firstLine="709"/>
        <w:jc w:val="both"/>
        <w:rPr>
          <w:rFonts w:cs="Traditional Arabic"/>
          <w:sz w:val="40"/>
          <w:szCs w:val="40"/>
          <w:rtl/>
          <w:lang w:bidi="ar-DZ"/>
        </w:rPr>
      </w:pPr>
      <w:r w:rsidRPr="00353E2A">
        <w:rPr>
          <w:rFonts w:cs="Traditional Arabic" w:hint="cs"/>
          <w:sz w:val="40"/>
          <w:szCs w:val="40"/>
          <w:rtl/>
          <w:lang w:bidi="ar-DZ"/>
        </w:rPr>
        <w:lastRenderedPageBreak/>
        <w:t xml:space="preserve">وبشكل عام يمكن القول أن الإحالة تنقسم إلى مقامية أو مقالية (نصيّة) كما نتفرغ هذه الأخيرة إلى قبلية وبعديّة، ويذهب هاليداي رقية حسن إلى اعتبار الإحالة المقاميّة فرع إحالي يقوم بدور فعّال في </w:t>
      </w:r>
      <w:r>
        <w:rPr>
          <w:rFonts w:cs="Traditional Arabic" w:hint="cs"/>
          <w:sz w:val="40"/>
          <w:szCs w:val="40"/>
          <w:rtl/>
          <w:lang w:bidi="ar-DZ"/>
        </w:rPr>
        <w:t>إ</w:t>
      </w:r>
      <w:r w:rsidRPr="00353E2A">
        <w:rPr>
          <w:rFonts w:cs="Traditional Arabic" w:hint="cs"/>
          <w:sz w:val="40"/>
          <w:szCs w:val="40"/>
          <w:rtl/>
          <w:lang w:bidi="ar-DZ"/>
        </w:rPr>
        <w:t xml:space="preserve">نتاج النص، لأنّ هذا الفرع من الإحالة يربط بين الوحدات والعناصر اللغويّة وسياق المقام، إلا أنها لا تقوم </w:t>
      </w:r>
      <w:r>
        <w:rPr>
          <w:rFonts w:cs="Traditional Arabic" w:hint="cs"/>
          <w:sz w:val="40"/>
          <w:szCs w:val="40"/>
          <w:rtl/>
          <w:lang w:bidi="ar-DZ"/>
        </w:rPr>
        <w:t>ب</w:t>
      </w:r>
      <w:r w:rsidRPr="00353E2A">
        <w:rPr>
          <w:rFonts w:cs="Traditional Arabic" w:hint="cs"/>
          <w:sz w:val="40"/>
          <w:szCs w:val="40"/>
          <w:rtl/>
          <w:lang w:bidi="ar-DZ"/>
        </w:rPr>
        <w:t xml:space="preserve">دور في مجال اتساقه بشكل </w:t>
      </w:r>
      <w:r>
        <w:rPr>
          <w:rFonts w:cs="Traditional Arabic" w:hint="cs"/>
          <w:sz w:val="40"/>
          <w:szCs w:val="40"/>
          <w:rtl/>
          <w:lang w:bidi="ar-DZ"/>
        </w:rPr>
        <w:t>مباشر، بخ</w:t>
      </w:r>
      <w:r w:rsidRPr="00353E2A">
        <w:rPr>
          <w:rFonts w:cs="Traditional Arabic" w:hint="cs"/>
          <w:sz w:val="40"/>
          <w:szCs w:val="40"/>
          <w:rtl/>
          <w:lang w:bidi="ar-DZ"/>
        </w:rPr>
        <w:t>لاف الإحالة النصيّة (المقالية) التّي تقوم بدور طلائعي في اتساق النص وهذا هو سرّ الاهتمام البالغ بها من طرف الباحثين في مؤلفهما الاتساق في الإنجليزية</w:t>
      </w:r>
      <w:r w:rsidRPr="00353E2A">
        <w:rPr>
          <w:rFonts w:cs="Traditional Arabic" w:hint="cs"/>
          <w:sz w:val="40"/>
          <w:szCs w:val="40"/>
          <w:vertAlign w:val="superscript"/>
          <w:rtl/>
          <w:lang w:bidi="ar-DZ"/>
        </w:rPr>
        <w:t>()</w:t>
      </w:r>
      <w:r w:rsidRPr="00353E2A">
        <w:rPr>
          <w:rFonts w:cs="Traditional Arabic" w:hint="cs"/>
          <w:sz w:val="40"/>
          <w:szCs w:val="40"/>
          <w:rtl/>
          <w:lang w:bidi="ar-DZ"/>
        </w:rPr>
        <w:t>.</w:t>
      </w:r>
    </w:p>
    <w:p w:rsidR="00C55808" w:rsidRPr="00353E2A" w:rsidRDefault="00C55808" w:rsidP="009E668E">
      <w:pPr>
        <w:bidi/>
        <w:spacing w:before="100" w:beforeAutospacing="1" w:after="100" w:afterAutospacing="1" w:line="240" w:lineRule="auto"/>
        <w:ind w:firstLine="709"/>
        <w:jc w:val="both"/>
        <w:rPr>
          <w:rFonts w:cs="Traditional Arabic"/>
          <w:sz w:val="40"/>
          <w:szCs w:val="40"/>
          <w:rtl/>
          <w:lang w:bidi="ar-DZ"/>
        </w:rPr>
      </w:pPr>
      <w:r w:rsidRPr="00353E2A">
        <w:rPr>
          <w:rFonts w:cs="Traditional Arabic" w:hint="cs"/>
          <w:sz w:val="40"/>
          <w:szCs w:val="40"/>
          <w:rtl/>
          <w:lang w:bidi="ar-DZ"/>
        </w:rPr>
        <w:t>كما تتفرع الإحالة حسب الباحثان إلى إحالة من نوع آخر هو المقارنة، وتنقسم هذه الأخيرة بدورها: عامة وتنقسم إلى فروع ثانوية، منها التطابق والتشابه والاختلاف، أمّا الخاصّة فهي كذلك تتفرع إلى إحالات فرعية كالكمية والكيفية، وتقوم هذه الإحالات بوظائف اتساقية كونها تتعلق بالإحالة النصيّة المقالية كما أسلفنا الذّكر</w:t>
      </w:r>
      <w:r w:rsidRPr="00353E2A">
        <w:rPr>
          <w:rFonts w:cs="Traditional Arabic" w:hint="cs"/>
          <w:sz w:val="40"/>
          <w:szCs w:val="40"/>
          <w:vertAlign w:val="superscript"/>
          <w:rtl/>
          <w:lang w:bidi="ar-DZ"/>
        </w:rPr>
        <w:t>(</w:t>
      </w:r>
      <w:r w:rsidRPr="00353E2A">
        <w:rPr>
          <w:rFonts w:cs="Traditional Arabic" w:hint="cs"/>
          <w:sz w:val="40"/>
          <w:szCs w:val="40"/>
          <w:rtl/>
          <w:lang w:bidi="ar-DZ"/>
        </w:rPr>
        <w:t>.</w:t>
      </w:r>
    </w:p>
    <w:p w:rsidR="00B4580F" w:rsidRDefault="00B4580F" w:rsidP="00C55808">
      <w:pPr>
        <w:bidi/>
        <w:rPr>
          <w:lang w:bidi="ar-DZ"/>
        </w:rPr>
      </w:pPr>
    </w:p>
    <w:sectPr w:rsidR="00B4580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80F" w:rsidRDefault="00B4580F" w:rsidP="00C55808">
      <w:pPr>
        <w:spacing w:after="0" w:line="240" w:lineRule="auto"/>
      </w:pPr>
      <w:r>
        <w:separator/>
      </w:r>
    </w:p>
  </w:endnote>
  <w:endnote w:type="continuationSeparator" w:id="1">
    <w:p w:rsidR="00B4580F" w:rsidRDefault="00B4580F" w:rsidP="00C558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80F" w:rsidRDefault="00B4580F" w:rsidP="00C55808">
      <w:pPr>
        <w:spacing w:after="0" w:line="240" w:lineRule="auto"/>
      </w:pPr>
      <w:r>
        <w:separator/>
      </w:r>
    </w:p>
  </w:footnote>
  <w:footnote w:type="continuationSeparator" w:id="1">
    <w:p w:rsidR="00B4580F" w:rsidRDefault="00B4580F" w:rsidP="00C5580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C55808"/>
    <w:rsid w:val="009E668E"/>
    <w:rsid w:val="00B4580F"/>
    <w:rsid w:val="00C5580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 id="V:Rule2" type="connector" idref="#_x0000_s1033"/>
        <o:r id="V:Rule3" type="connector" idref="#_x0000_s1034"/>
        <o:r id="V:Rule5" type="connector" idref="#_x0000_s1037"/>
        <o:r id="V:Rule6" type="connector" idref="#_x0000_s1038"/>
        <o:r id="V:Rule7" type="connector" idref="#_x0000_s1039"/>
        <o:r id="V:Rule8" type="connector" idref="#_x0000_s1031"/>
        <o:r id="V:Rule9"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5580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55808"/>
    <w:rPr>
      <w:sz w:val="20"/>
      <w:szCs w:val="20"/>
    </w:rPr>
  </w:style>
  <w:style w:type="character" w:styleId="Appelnotedebasdep">
    <w:name w:val="footnote reference"/>
    <w:basedOn w:val="Policepardfaut"/>
    <w:uiPriority w:val="99"/>
    <w:semiHidden/>
    <w:unhideWhenUsed/>
    <w:rsid w:val="00C5580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1415</Characters>
  <Application>Microsoft Office Word</Application>
  <DocSecurity>0</DocSecurity>
  <Lines>11</Lines>
  <Paragraphs>3</Paragraphs>
  <ScaleCrop>false</ScaleCrop>
  <Company/>
  <LinksUpToDate>false</LinksUpToDate>
  <CharactersWithSpaces>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dc:creator>
  <cp:keywords/>
  <dc:description/>
  <cp:lastModifiedBy>sara</cp:lastModifiedBy>
  <cp:revision>3</cp:revision>
  <dcterms:created xsi:type="dcterms:W3CDTF">2021-12-13T23:49:00Z</dcterms:created>
  <dcterms:modified xsi:type="dcterms:W3CDTF">2021-12-13T23:51:00Z</dcterms:modified>
</cp:coreProperties>
</file>