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8CF" w:rsidRDefault="001D78CF" w:rsidP="0054665F">
      <w:pPr>
        <w:bidi/>
        <w:spacing w:before="100" w:beforeAutospacing="1" w:after="100" w:afterAutospacing="1" w:line="240" w:lineRule="auto"/>
        <w:ind w:firstLine="709"/>
        <w:jc w:val="both"/>
        <w:rPr>
          <w:rFonts w:cs="Traditional Arabic" w:hint="cs"/>
          <w:b/>
          <w:bCs/>
          <w:sz w:val="40"/>
          <w:szCs w:val="40"/>
          <w:rtl/>
          <w:lang w:bidi="ar-DZ"/>
        </w:rPr>
      </w:pPr>
      <w:r>
        <w:rPr>
          <w:rFonts w:cs="Traditional Arabic" w:hint="cs"/>
          <w:b/>
          <w:bCs/>
          <w:sz w:val="40"/>
          <w:szCs w:val="40"/>
          <w:rtl/>
          <w:lang w:bidi="ar-DZ"/>
        </w:rPr>
        <w:t xml:space="preserve">                          الحذف والوصل</w:t>
      </w:r>
    </w:p>
    <w:p w:rsidR="0054665F" w:rsidRDefault="0054665F" w:rsidP="00C742CE">
      <w:pPr>
        <w:bidi/>
        <w:spacing w:before="100" w:beforeAutospacing="1" w:after="100" w:afterAutospacing="1" w:line="240" w:lineRule="auto"/>
        <w:ind w:firstLine="709"/>
        <w:jc w:val="both"/>
        <w:rPr>
          <w:rFonts w:cs="Traditional Arabic"/>
          <w:sz w:val="40"/>
          <w:szCs w:val="40"/>
          <w:lang w:bidi="ar-DZ"/>
        </w:rPr>
      </w:pPr>
      <w:r>
        <w:rPr>
          <w:rFonts w:cs="Traditional Arabic"/>
          <w:b/>
          <w:bCs/>
          <w:sz w:val="40"/>
          <w:szCs w:val="40"/>
          <w:rtl/>
          <w:lang w:bidi="ar-DZ"/>
        </w:rPr>
        <w:t>-الحذف:</w:t>
      </w:r>
      <w:r>
        <w:rPr>
          <w:rFonts w:cs="Traditional Arabic"/>
          <w:sz w:val="40"/>
          <w:szCs w:val="40"/>
          <w:rtl/>
          <w:lang w:bidi="ar-DZ"/>
        </w:rPr>
        <w:t xml:space="preserve"> وتحدث ظاهرة الحذف عند "افتراض عنصر، غير موجود في النّص، فيه؛ لدلالة عنصر سابق عليه"</w:t>
      </w:r>
      <w:r>
        <w:rPr>
          <w:rFonts w:cs="Traditional Arabic"/>
          <w:sz w:val="40"/>
          <w:szCs w:val="40"/>
          <w:vertAlign w:val="superscript"/>
          <w:rtl/>
          <w:lang w:bidi="ar-DZ"/>
        </w:rPr>
        <w:t>()</w:t>
      </w:r>
      <w:r>
        <w:rPr>
          <w:rFonts w:cs="Traditional Arabic"/>
          <w:sz w:val="40"/>
          <w:szCs w:val="40"/>
          <w:rtl/>
          <w:lang w:bidi="ar-DZ"/>
        </w:rPr>
        <w:t xml:space="preserve">. والجدير بالذكر في هذا الصّدد أن جريان تصنيف هاليداي وحسن لأنواع الحذف سار حسب الدّور الذي يلعبه هذا الأخير في تحقيق الاتساق النصي، إذ أشار الباحثان أنّ الحذف شأنه شأن الاستبدال ظاهرة مُنطلقها النص، كما أن هذه الظاهرة تقوم على وجود العنصر المحذوف في العبارات السّابقة وبالتالي تأخذ موضعًا في صنف العلاقة القبليّة </w:t>
      </w:r>
      <w:r>
        <w:rPr>
          <w:rFonts w:asciiTheme="majorBidi" w:hAnsiTheme="majorBidi" w:cstheme="majorBidi"/>
          <w:sz w:val="28"/>
          <w:szCs w:val="28"/>
          <w:lang w:val="en-US" w:bidi="ar-DZ"/>
        </w:rPr>
        <w:t>Anaphoric</w:t>
      </w:r>
      <w:r>
        <w:rPr>
          <w:rFonts w:asciiTheme="majorBidi" w:hAnsiTheme="majorBidi" w:cstheme="majorBidi"/>
          <w:sz w:val="28"/>
          <w:szCs w:val="28"/>
          <w:lang w:bidi="ar-DZ"/>
        </w:rPr>
        <w:t xml:space="preserve"> relation</w:t>
      </w:r>
      <w:r>
        <w:rPr>
          <w:rFonts w:asciiTheme="majorBidi" w:hAnsiTheme="majorBidi" w:cstheme="majorBidi"/>
          <w:sz w:val="40"/>
          <w:szCs w:val="40"/>
          <w:rtl/>
          <w:lang w:bidi="ar-DZ"/>
        </w:rPr>
        <w:t xml:space="preserve"> </w:t>
      </w:r>
      <w:r>
        <w:rPr>
          <w:rFonts w:asciiTheme="majorBidi" w:hAnsiTheme="majorBidi" w:cstheme="majorBidi" w:hint="cs"/>
          <w:sz w:val="40"/>
          <w:szCs w:val="40"/>
          <w:vertAlign w:val="superscript"/>
          <w:rtl/>
          <w:lang w:bidi="ar-DZ"/>
        </w:rPr>
        <w:t>(</w:t>
      </w:r>
      <w:r>
        <w:rPr>
          <w:rFonts w:cs="Traditional Arabic"/>
          <w:sz w:val="40"/>
          <w:szCs w:val="40"/>
          <w:rtl/>
          <w:lang w:bidi="ar-DZ"/>
        </w:rPr>
        <w:t>.</w:t>
      </w:r>
    </w:p>
    <w:p w:rsidR="0054665F" w:rsidRDefault="0054665F" w:rsidP="00C742CE">
      <w:pPr>
        <w:bidi/>
        <w:spacing w:after="0" w:line="240" w:lineRule="auto"/>
        <w:ind w:firstLine="709"/>
        <w:jc w:val="both"/>
        <w:rPr>
          <w:rFonts w:cs="Traditional Arabic"/>
          <w:sz w:val="40"/>
          <w:szCs w:val="40"/>
          <w:rtl/>
          <w:lang w:bidi="ar-DZ"/>
        </w:rPr>
      </w:pPr>
      <w:r>
        <w:rPr>
          <w:rFonts w:cs="Traditional Arabic"/>
          <w:sz w:val="40"/>
          <w:szCs w:val="40"/>
          <w:rtl/>
          <w:lang w:bidi="ar-DZ"/>
        </w:rPr>
        <w:t>وعلى أساس هذه الرؤيّة قسّم الباحثان ظاهرة الحذف إلى نفس التقسيمات التّي انقسم إليها الاستبدال، أي إلى اسمي وفعلي وقولي وقد دعمّا هذا التقسيم بمجموعة من الأمثلة</w:t>
      </w:r>
      <w:r>
        <w:rPr>
          <w:rFonts w:cs="Traditional Arabic"/>
          <w:sz w:val="40"/>
          <w:szCs w:val="40"/>
          <w:vertAlign w:val="superscript"/>
          <w:rtl/>
          <w:lang w:bidi="ar-DZ"/>
        </w:rPr>
        <w:t>()</w:t>
      </w:r>
      <w:r>
        <w:rPr>
          <w:rFonts w:cs="Traditional Arabic"/>
          <w:sz w:val="40"/>
          <w:szCs w:val="40"/>
          <w:rtl/>
          <w:lang w:bidi="ar-DZ"/>
        </w:rPr>
        <w:t>:</w:t>
      </w:r>
    </w:p>
    <w:p w:rsidR="0054665F" w:rsidRDefault="0054665F" w:rsidP="0054665F">
      <w:pPr>
        <w:bidi/>
        <w:spacing w:after="0" w:line="240" w:lineRule="auto"/>
        <w:ind w:firstLine="709"/>
        <w:jc w:val="both"/>
        <w:rPr>
          <w:rFonts w:cs="Traditional Arabic"/>
          <w:sz w:val="40"/>
          <w:szCs w:val="40"/>
          <w:rtl/>
          <w:lang w:bidi="ar-DZ"/>
        </w:rPr>
      </w:pPr>
      <w:r>
        <w:rPr>
          <w:rFonts w:cs="Traditional Arabic"/>
          <w:sz w:val="40"/>
          <w:szCs w:val="40"/>
          <w:rtl/>
          <w:lang w:bidi="ar-DZ"/>
        </w:rPr>
        <w:t>*يعني الحذف الإسمي: حذف إسم داخل المركبات الإسمية مثل</w:t>
      </w:r>
    </w:p>
    <w:p w:rsidR="0054665F" w:rsidRDefault="0054665F" w:rsidP="0054665F">
      <w:pPr>
        <w:bidi/>
        <w:spacing w:after="0" w:line="240" w:lineRule="auto"/>
        <w:ind w:firstLine="709"/>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Witch ha twill you weak – this is the best</w:t>
      </w:r>
    </w:p>
    <w:p w:rsidR="0054665F" w:rsidRDefault="0054665F" w:rsidP="0054665F">
      <w:pPr>
        <w:bidi/>
        <w:spacing w:after="0" w:line="240" w:lineRule="auto"/>
        <w:ind w:firstLine="709"/>
        <w:jc w:val="both"/>
        <w:rPr>
          <w:rFonts w:cs="Traditional Arabic"/>
          <w:sz w:val="40"/>
          <w:szCs w:val="40"/>
          <w:lang w:bidi="ar-DZ"/>
        </w:rPr>
      </w:pPr>
      <w:r>
        <w:rPr>
          <w:rFonts w:cs="Traditional Arabic"/>
          <w:sz w:val="40"/>
          <w:szCs w:val="40"/>
          <w:rtl/>
          <w:lang w:bidi="ar-DZ"/>
        </w:rPr>
        <w:t>(أي قبعة ستلبس؟ - هذه هي الأحسن)</w:t>
      </w:r>
    </w:p>
    <w:p w:rsidR="0054665F" w:rsidRDefault="0054665F" w:rsidP="0054665F">
      <w:pPr>
        <w:bidi/>
        <w:spacing w:after="0" w:line="240" w:lineRule="auto"/>
        <w:ind w:firstLine="709"/>
        <w:jc w:val="both"/>
        <w:rPr>
          <w:rFonts w:cs="Traditional Arabic"/>
          <w:sz w:val="40"/>
          <w:szCs w:val="40"/>
          <w:rtl/>
          <w:lang w:bidi="ar-DZ"/>
        </w:rPr>
      </w:pPr>
      <w:r>
        <w:rPr>
          <w:rFonts w:cs="Traditional Arabic"/>
          <w:sz w:val="40"/>
          <w:szCs w:val="40"/>
          <w:rtl/>
          <w:lang w:bidi="ar-DZ"/>
        </w:rPr>
        <w:t>-فقد حذفت القبعة (</w:t>
      </w:r>
      <w:r>
        <w:rPr>
          <w:rFonts w:asciiTheme="majorBidi" w:hAnsiTheme="majorBidi" w:cstheme="majorBidi"/>
          <w:sz w:val="28"/>
          <w:szCs w:val="28"/>
          <w:lang w:bidi="ar-DZ"/>
        </w:rPr>
        <w:t xml:space="preserve">the </w:t>
      </w:r>
      <w:r>
        <w:rPr>
          <w:rFonts w:asciiTheme="majorBidi" w:hAnsiTheme="majorBidi" w:cstheme="majorBidi"/>
          <w:sz w:val="28"/>
          <w:szCs w:val="28"/>
          <w:lang w:val="en-US" w:bidi="ar-DZ"/>
        </w:rPr>
        <w:t>hat</w:t>
      </w:r>
      <w:r>
        <w:rPr>
          <w:rFonts w:cs="Traditional Arabic"/>
          <w:sz w:val="40"/>
          <w:szCs w:val="40"/>
          <w:rtl/>
          <w:lang w:bidi="ar-DZ"/>
        </w:rPr>
        <w:t>) في الجواب.</w:t>
      </w:r>
    </w:p>
    <w:p w:rsidR="0054665F" w:rsidRDefault="0054665F" w:rsidP="0054665F">
      <w:pPr>
        <w:bidi/>
        <w:spacing w:after="0" w:line="240" w:lineRule="auto"/>
        <w:ind w:firstLine="709"/>
        <w:jc w:val="both"/>
        <w:rPr>
          <w:rFonts w:cs="Traditional Arabic"/>
          <w:sz w:val="40"/>
          <w:szCs w:val="40"/>
          <w:rtl/>
          <w:lang w:bidi="ar-DZ"/>
        </w:rPr>
      </w:pPr>
      <w:r>
        <w:rPr>
          <w:rFonts w:cs="Traditional Arabic"/>
          <w:sz w:val="40"/>
          <w:szCs w:val="40"/>
          <w:rtl/>
          <w:lang w:bidi="ar-DZ"/>
        </w:rPr>
        <w:t>*أمّا الحذف الفعلي فهو مرتبط بالحذف في ثنايا المركب الفعلي مثل</w:t>
      </w:r>
    </w:p>
    <w:p w:rsidR="0054665F" w:rsidRDefault="0054665F" w:rsidP="0054665F">
      <w:pPr>
        <w:bidi/>
        <w:spacing w:after="0" w:line="240" w:lineRule="auto"/>
        <w:ind w:firstLine="709"/>
        <w:jc w:val="both"/>
        <w:rPr>
          <w:rFonts w:cs="Traditional Arabic"/>
          <w:sz w:val="28"/>
          <w:szCs w:val="28"/>
          <w:rtl/>
          <w:lang w:val="en-US" w:bidi="ar-DZ"/>
        </w:rPr>
      </w:pPr>
      <w:r>
        <w:rPr>
          <w:rFonts w:asciiTheme="majorBidi" w:hAnsiTheme="majorBidi" w:cstheme="majorBidi"/>
          <w:sz w:val="28"/>
          <w:szCs w:val="28"/>
          <w:lang w:val="en-US" w:bidi="ar-DZ"/>
        </w:rPr>
        <w:t>Have you been swimming ? yes, I have</w:t>
      </w:r>
    </w:p>
    <w:p w:rsidR="0054665F" w:rsidRDefault="0054665F" w:rsidP="0054665F">
      <w:pPr>
        <w:bidi/>
        <w:spacing w:after="0" w:line="240" w:lineRule="auto"/>
        <w:ind w:firstLine="709"/>
        <w:jc w:val="both"/>
        <w:rPr>
          <w:rFonts w:cs="Traditional Arabic"/>
          <w:sz w:val="40"/>
          <w:szCs w:val="40"/>
          <w:lang w:bidi="ar-DZ"/>
        </w:rPr>
      </w:pPr>
      <w:r>
        <w:rPr>
          <w:rFonts w:cs="Traditional Arabic"/>
          <w:sz w:val="40"/>
          <w:szCs w:val="40"/>
          <w:rtl/>
          <w:lang w:bidi="ar-DZ"/>
        </w:rPr>
        <w:t>(هل كنت تسبح؟ -نعم، فعلت)</w:t>
      </w:r>
    </w:p>
    <w:p w:rsidR="0054665F" w:rsidRDefault="0054665F" w:rsidP="0054665F">
      <w:pPr>
        <w:bidi/>
        <w:spacing w:after="0" w:line="240" w:lineRule="auto"/>
        <w:ind w:firstLine="709"/>
        <w:jc w:val="both"/>
        <w:rPr>
          <w:rFonts w:cs="Traditional Arabic"/>
          <w:sz w:val="40"/>
          <w:szCs w:val="40"/>
          <w:rtl/>
          <w:lang w:bidi="ar-DZ"/>
        </w:rPr>
      </w:pPr>
      <w:r>
        <w:rPr>
          <w:rFonts w:cs="Traditional Arabic"/>
          <w:sz w:val="40"/>
          <w:szCs w:val="40"/>
          <w:rtl/>
          <w:lang w:bidi="ar-DZ"/>
        </w:rPr>
        <w:t>*والقسم الثالث فهو الحذف داخل شبه الجملة مثل:</w:t>
      </w:r>
    </w:p>
    <w:p w:rsidR="0054665F" w:rsidRDefault="0054665F" w:rsidP="0054665F">
      <w:pPr>
        <w:bidi/>
        <w:spacing w:after="0" w:line="240" w:lineRule="auto"/>
        <w:ind w:firstLine="709"/>
        <w:jc w:val="both"/>
        <w:rPr>
          <w:rFonts w:asciiTheme="majorBidi" w:hAnsiTheme="majorBidi" w:cstheme="majorBidi"/>
          <w:sz w:val="28"/>
          <w:szCs w:val="28"/>
          <w:rtl/>
          <w:lang w:val="en-US" w:bidi="ar-DZ"/>
        </w:rPr>
      </w:pPr>
      <w:r>
        <w:rPr>
          <w:rFonts w:asciiTheme="majorBidi" w:hAnsiTheme="majorBidi" w:cstheme="majorBidi"/>
          <w:sz w:val="28"/>
          <w:szCs w:val="28"/>
          <w:lang w:val="en-US" w:bidi="ar-DZ"/>
        </w:rPr>
        <w:t>How much does it cost ? five pound</w:t>
      </w:r>
    </w:p>
    <w:p w:rsidR="0054665F" w:rsidRDefault="0054665F" w:rsidP="0054665F">
      <w:pPr>
        <w:bidi/>
        <w:spacing w:after="0" w:line="240" w:lineRule="auto"/>
        <w:ind w:firstLine="709"/>
        <w:jc w:val="both"/>
        <w:rPr>
          <w:rFonts w:cs="Traditional Arabic"/>
          <w:sz w:val="40"/>
          <w:szCs w:val="40"/>
          <w:lang w:bidi="ar-DZ"/>
        </w:rPr>
      </w:pPr>
      <w:r>
        <w:rPr>
          <w:rFonts w:cs="Traditional Arabic"/>
          <w:sz w:val="40"/>
          <w:szCs w:val="40"/>
          <w:rtl/>
          <w:lang w:bidi="ar-DZ"/>
        </w:rPr>
        <w:t>(كم ثمنه – خمسة جنيهات)</w:t>
      </w:r>
    </w:p>
    <w:p w:rsidR="0054665F" w:rsidRDefault="0054665F" w:rsidP="0054665F">
      <w:pPr>
        <w:bidi/>
        <w:spacing w:before="100" w:beforeAutospacing="1" w:after="100" w:afterAutospacing="1" w:line="240" w:lineRule="auto"/>
        <w:ind w:firstLine="709"/>
        <w:jc w:val="both"/>
        <w:rPr>
          <w:rFonts w:cs="Traditional Arabic"/>
          <w:sz w:val="40"/>
          <w:szCs w:val="40"/>
          <w:rtl/>
          <w:lang w:bidi="ar-DZ"/>
        </w:rPr>
      </w:pPr>
      <w:r>
        <w:rPr>
          <w:rFonts w:cs="Traditional Arabic"/>
          <w:sz w:val="40"/>
          <w:szCs w:val="40"/>
          <w:rtl/>
          <w:lang w:bidi="ar-DZ"/>
        </w:rPr>
        <w:t xml:space="preserve">وعليه تنبع رؤية لا مجال للشك فيها أن للاتساق وظيفة تنظيمية مهمّة تسهم في ترابط النص لتجعله كالنسيج المتماسك والبنيان المرصوص، شأنه شأن المظاهر الاتساقية </w:t>
      </w:r>
      <w:r>
        <w:rPr>
          <w:rFonts w:cs="Traditional Arabic"/>
          <w:sz w:val="40"/>
          <w:szCs w:val="40"/>
          <w:rtl/>
          <w:lang w:bidi="ar-DZ"/>
        </w:rPr>
        <w:lastRenderedPageBreak/>
        <w:t>الأخرى السّابقة كالإحالة وللاستبدال، ولكن المظهر الكفيل بزرع حدود فصل بينه وبين الوسائل الأخيرة "هو عدم وجود أثر عن المحذوف فيما يَلْحَقُ من النص"</w:t>
      </w:r>
      <w:r>
        <w:rPr>
          <w:rFonts w:cs="Traditional Arabic"/>
          <w:sz w:val="40"/>
          <w:szCs w:val="40"/>
          <w:vertAlign w:val="superscript"/>
          <w:rtl/>
          <w:lang w:bidi="ar-DZ"/>
        </w:rPr>
        <w:t>(</w:t>
      </w:r>
      <w:r>
        <w:rPr>
          <w:rStyle w:val="Appelnotedebasdep"/>
          <w:rFonts w:cs="Traditional Arabic"/>
          <w:sz w:val="40"/>
          <w:szCs w:val="40"/>
          <w:rtl/>
          <w:lang w:bidi="ar-DZ"/>
        </w:rPr>
        <w:footnoteReference w:id="2"/>
      </w:r>
      <w:r>
        <w:rPr>
          <w:rFonts w:cs="Traditional Arabic"/>
          <w:sz w:val="40"/>
          <w:szCs w:val="40"/>
          <w:vertAlign w:val="superscript"/>
          <w:rtl/>
          <w:lang w:bidi="ar-DZ"/>
        </w:rPr>
        <w:t>)</w:t>
      </w:r>
      <w:r>
        <w:rPr>
          <w:rFonts w:cs="Traditional Arabic"/>
          <w:sz w:val="40"/>
          <w:szCs w:val="40"/>
          <w:rtl/>
          <w:lang w:bidi="ar-DZ"/>
        </w:rPr>
        <w:t>.</w:t>
      </w:r>
    </w:p>
    <w:p w:rsidR="0054665F" w:rsidRDefault="0054665F" w:rsidP="001D78CF">
      <w:pPr>
        <w:bidi/>
        <w:spacing w:before="100" w:beforeAutospacing="1" w:after="100" w:afterAutospacing="1" w:line="240" w:lineRule="auto"/>
        <w:ind w:firstLine="709"/>
        <w:jc w:val="both"/>
        <w:rPr>
          <w:rFonts w:cs="Traditional Arabic"/>
          <w:b/>
          <w:bCs/>
          <w:sz w:val="40"/>
          <w:szCs w:val="40"/>
          <w:rtl/>
          <w:lang w:bidi="ar-DZ"/>
        </w:rPr>
      </w:pPr>
      <w:r>
        <w:rPr>
          <w:rFonts w:cs="Traditional Arabic"/>
          <w:b/>
          <w:bCs/>
          <w:sz w:val="40"/>
          <w:szCs w:val="40"/>
          <w:rtl/>
          <w:lang w:bidi="ar-DZ"/>
        </w:rPr>
        <w:t xml:space="preserve">                         </w:t>
      </w:r>
    </w:p>
    <w:p w:rsidR="0054665F" w:rsidRDefault="0054665F" w:rsidP="0054665F">
      <w:pPr>
        <w:bidi/>
        <w:spacing w:after="0" w:line="240" w:lineRule="auto"/>
        <w:ind w:firstLine="709"/>
        <w:jc w:val="both"/>
        <w:rPr>
          <w:rFonts w:cs="Traditional Arabic"/>
          <w:b/>
          <w:bCs/>
          <w:sz w:val="40"/>
          <w:szCs w:val="40"/>
          <w:rtl/>
          <w:lang w:bidi="ar-DZ"/>
        </w:rPr>
      </w:pPr>
      <w:r>
        <w:rPr>
          <w:rFonts w:cs="Traditional Arabic"/>
          <w:b/>
          <w:bCs/>
          <w:sz w:val="40"/>
          <w:szCs w:val="40"/>
          <w:rtl/>
          <w:lang w:bidi="ar-DZ"/>
        </w:rPr>
        <w:t>4-الوصل :</w:t>
      </w:r>
    </w:p>
    <w:p w:rsidR="0054665F" w:rsidRDefault="0054665F" w:rsidP="00C742CE">
      <w:pPr>
        <w:bidi/>
        <w:spacing w:after="0" w:line="240" w:lineRule="auto"/>
        <w:ind w:firstLine="709"/>
        <w:jc w:val="both"/>
        <w:rPr>
          <w:rFonts w:cs="Traditional Arabic"/>
          <w:sz w:val="40"/>
          <w:szCs w:val="40"/>
          <w:rtl/>
          <w:lang w:bidi="ar-DZ"/>
        </w:rPr>
      </w:pPr>
      <w:r>
        <w:rPr>
          <w:rFonts w:cs="Traditional Arabic"/>
          <w:sz w:val="40"/>
          <w:szCs w:val="40"/>
          <w:rtl/>
          <w:lang w:bidi="ar-DZ"/>
        </w:rPr>
        <w:t>وهو من المظاهر الاتساقية التّي تختلف عن وسائل وأدوات الاتساق السّابقة وذلك "لأنّه لا يتضمّن إشارة موجهة نحو البحث عن المفترض فيما تقدّم أو ما سيلحق، كما هو شأن الإحالة والاستبدال والحذف"</w:t>
      </w:r>
      <w:r>
        <w:rPr>
          <w:rFonts w:cs="Traditional Arabic"/>
          <w:sz w:val="40"/>
          <w:szCs w:val="40"/>
          <w:vertAlign w:val="superscript"/>
          <w:rtl/>
          <w:lang w:bidi="ar-DZ"/>
        </w:rPr>
        <w:t>(</w:t>
      </w:r>
      <w:r>
        <w:rPr>
          <w:rFonts w:cs="Traditional Arabic"/>
          <w:sz w:val="40"/>
          <w:szCs w:val="40"/>
          <w:rtl/>
          <w:lang w:bidi="ar-DZ"/>
        </w:rPr>
        <w:t>.</w:t>
      </w:r>
    </w:p>
    <w:p w:rsidR="0054665F" w:rsidRDefault="0054665F" w:rsidP="00C742CE">
      <w:pPr>
        <w:bidi/>
        <w:spacing w:before="100" w:beforeAutospacing="1" w:after="100" w:afterAutospacing="1" w:line="240" w:lineRule="auto"/>
        <w:ind w:firstLine="709"/>
        <w:jc w:val="both"/>
        <w:rPr>
          <w:rFonts w:cs="Traditional Arabic"/>
          <w:sz w:val="40"/>
          <w:szCs w:val="40"/>
          <w:rtl/>
          <w:lang w:bidi="ar-DZ"/>
        </w:rPr>
      </w:pPr>
      <w:r>
        <w:rPr>
          <w:rFonts w:cs="Traditional Arabic"/>
          <w:sz w:val="40"/>
          <w:szCs w:val="40"/>
          <w:rtl/>
          <w:lang w:bidi="ar-DZ"/>
        </w:rPr>
        <w:t>فهو مقترن "بربط سابق، بآخر لاحق، بواسطة عنصر دال"</w:t>
      </w:r>
      <w:r>
        <w:rPr>
          <w:rFonts w:cs="Traditional Arabic"/>
          <w:sz w:val="40"/>
          <w:szCs w:val="40"/>
          <w:vertAlign w:val="superscript"/>
          <w:rtl/>
          <w:lang w:bidi="ar-DZ"/>
        </w:rPr>
        <w:t>(</w:t>
      </w:r>
      <w:r>
        <w:rPr>
          <w:rFonts w:cs="Traditional Arabic"/>
          <w:sz w:val="40"/>
          <w:szCs w:val="40"/>
          <w:rtl/>
          <w:lang w:bidi="ar-DZ"/>
        </w:rPr>
        <w:t>. أي إنّه تحديد للصفة التّي يترابط بها اللاّحق مع السّابق بطريقة منظمة، باعتبار أنّ النص يتشكّل من جمل متتالية وأنّ هذا التعاقب الجملي يفرض وجود عناصر رابطة تعمل على الإيصال بين الوحدات المشكّلة للنص.</w:t>
      </w:r>
    </w:p>
    <w:p w:rsidR="0054665F" w:rsidRDefault="0054665F" w:rsidP="00C742CE">
      <w:pPr>
        <w:bidi/>
        <w:spacing w:after="0" w:line="240" w:lineRule="auto"/>
        <w:ind w:firstLine="709"/>
        <w:jc w:val="both"/>
        <w:rPr>
          <w:rFonts w:cs="Traditional Arabic"/>
          <w:sz w:val="40"/>
          <w:szCs w:val="40"/>
          <w:rtl/>
          <w:lang w:bidi="ar-DZ"/>
        </w:rPr>
      </w:pPr>
      <w:r>
        <w:rPr>
          <w:rFonts w:cs="Traditional Arabic"/>
          <w:sz w:val="40"/>
          <w:szCs w:val="40"/>
          <w:rtl/>
          <w:lang w:bidi="ar-DZ"/>
        </w:rPr>
        <w:t xml:space="preserve">وذكر هاليداي ورقيّة حسن أنّ من بين الصّيغ الأكثر بساطة في عملية الوصل الأداة واو، وميّزوا في هذا الصّدد بين نوعين من الواو: أوّلها الواو العاطفة </w:t>
      </w:r>
      <w:r>
        <w:rPr>
          <w:rFonts w:asciiTheme="majorBidi" w:hAnsiTheme="majorBidi" w:cstheme="majorBidi"/>
          <w:sz w:val="28"/>
          <w:szCs w:val="28"/>
          <w:lang w:bidi="ar-DZ"/>
        </w:rPr>
        <w:t>Cordinate and</w:t>
      </w:r>
      <w:r>
        <w:rPr>
          <w:rFonts w:cs="Traditional Arabic"/>
          <w:sz w:val="40"/>
          <w:szCs w:val="40"/>
          <w:rtl/>
          <w:lang w:bidi="ar-DZ"/>
        </w:rPr>
        <w:t xml:space="preserve"> التّي اعتبراها تفيد في عملية تعليق العناصر اللاّحقة بالسّابقة أي المعنية بتحقيق الوصل والربط بين الجمل</w:t>
      </w:r>
      <w:r>
        <w:rPr>
          <w:rFonts w:cs="Traditional Arabic"/>
          <w:sz w:val="40"/>
          <w:szCs w:val="40"/>
          <w:vertAlign w:val="superscript"/>
          <w:rtl/>
          <w:lang w:bidi="ar-DZ"/>
        </w:rPr>
        <w:t>(</w:t>
      </w:r>
      <w:r>
        <w:rPr>
          <w:rFonts w:cs="Traditional Arabic"/>
          <w:sz w:val="40"/>
          <w:szCs w:val="40"/>
          <w:rtl/>
          <w:lang w:bidi="ar-DZ"/>
        </w:rPr>
        <w:t>.</w:t>
      </w:r>
    </w:p>
    <w:p w:rsidR="0054665F" w:rsidRDefault="0054665F" w:rsidP="00C742CE">
      <w:pPr>
        <w:bidi/>
        <w:spacing w:before="100" w:beforeAutospacing="1" w:after="100" w:afterAutospacing="1" w:line="240" w:lineRule="auto"/>
        <w:ind w:firstLine="709"/>
        <w:jc w:val="both"/>
        <w:rPr>
          <w:rFonts w:cs="Traditional Arabic"/>
          <w:sz w:val="40"/>
          <w:szCs w:val="40"/>
          <w:rtl/>
          <w:lang w:bidi="ar-DZ"/>
        </w:rPr>
      </w:pPr>
      <w:r>
        <w:rPr>
          <w:rFonts w:cs="Traditional Arabic"/>
          <w:sz w:val="40"/>
          <w:szCs w:val="40"/>
          <w:rtl/>
          <w:lang w:bidi="ar-DZ"/>
        </w:rPr>
        <w:t>وقد قام المؤلفان بتفريغ الوصل الذّي يُعنى بالربط بين المتتاليات الجملية المتعاقبة في النص إلى إضافي وعكسي وسببي وزمني، إذ يتحقق الربط الإضافي في النص إذا توفّرت الأداتي "و"، "أو"، أما الوصل العكسي فهو مرتبط بأدوات مثل (</w:t>
      </w:r>
      <w:r>
        <w:rPr>
          <w:rFonts w:asciiTheme="majorBidi" w:hAnsiTheme="majorBidi" w:cstheme="majorBidi"/>
          <w:sz w:val="28"/>
          <w:szCs w:val="28"/>
          <w:lang w:bidi="ar-DZ"/>
        </w:rPr>
        <w:t xml:space="preserve">But, </w:t>
      </w:r>
      <w:r>
        <w:rPr>
          <w:rFonts w:asciiTheme="majorBidi" w:hAnsiTheme="majorBidi" w:cstheme="majorBidi"/>
          <w:sz w:val="28"/>
          <w:szCs w:val="28"/>
          <w:lang w:val="en-US" w:bidi="ar-DZ"/>
        </w:rPr>
        <w:t>Yes</w:t>
      </w:r>
      <w:r>
        <w:rPr>
          <w:rFonts w:cs="Traditional Arabic"/>
          <w:sz w:val="40"/>
          <w:szCs w:val="40"/>
          <w:rtl/>
          <w:lang w:bidi="ar-DZ"/>
        </w:rPr>
        <w:t>).. وغيرها، وبتعابير مثل (</w:t>
      </w:r>
      <w:r>
        <w:rPr>
          <w:rFonts w:asciiTheme="majorBidi" w:hAnsiTheme="majorBidi" w:cstheme="majorBidi"/>
          <w:sz w:val="28"/>
          <w:szCs w:val="28"/>
          <w:lang w:val="en-US" w:bidi="ar-DZ"/>
        </w:rPr>
        <w:t>however</w:t>
      </w:r>
      <w:r>
        <w:rPr>
          <w:rFonts w:cs="Traditional Arabic"/>
          <w:sz w:val="40"/>
          <w:szCs w:val="40"/>
          <w:rtl/>
          <w:lang w:bidi="ar-DZ"/>
        </w:rPr>
        <w:t xml:space="preserve"> و</w:t>
      </w:r>
      <w:r>
        <w:rPr>
          <w:rFonts w:asciiTheme="majorBidi" w:hAnsiTheme="majorBidi" w:cstheme="majorBidi"/>
          <w:sz w:val="28"/>
          <w:szCs w:val="28"/>
          <w:lang w:val="en-US" w:bidi="ar-DZ"/>
        </w:rPr>
        <w:t>Nevertheless</w:t>
      </w:r>
      <w:r>
        <w:rPr>
          <w:rFonts w:asciiTheme="majorBidi" w:hAnsiTheme="majorBidi" w:cstheme="majorBidi"/>
          <w:sz w:val="40"/>
          <w:szCs w:val="40"/>
          <w:lang w:val="en-US" w:bidi="ar-DZ"/>
        </w:rPr>
        <w:t xml:space="preserve"> </w:t>
      </w:r>
      <w:r>
        <w:rPr>
          <w:rFonts w:cs="Traditional Arabic"/>
          <w:sz w:val="40"/>
          <w:szCs w:val="40"/>
          <w:rtl/>
          <w:lang w:bidi="ar-DZ"/>
        </w:rPr>
        <w:t xml:space="preserve">) إلاّ أن للباحثين يشددون على </w:t>
      </w:r>
      <w:r>
        <w:rPr>
          <w:rFonts w:asciiTheme="majorBidi" w:hAnsiTheme="majorBidi" w:cstheme="majorBidi"/>
          <w:sz w:val="28"/>
          <w:szCs w:val="28"/>
          <w:lang w:val="en-US" w:bidi="ar-DZ"/>
        </w:rPr>
        <w:t>yet</w:t>
      </w:r>
      <w:r>
        <w:rPr>
          <w:rFonts w:cs="Traditional Arabic"/>
          <w:sz w:val="28"/>
          <w:szCs w:val="28"/>
          <w:rtl/>
          <w:lang w:val="en-US" w:bidi="ar-DZ"/>
        </w:rPr>
        <w:t xml:space="preserve"> </w:t>
      </w:r>
      <w:r>
        <w:rPr>
          <w:rFonts w:cs="Traditional Arabic"/>
          <w:sz w:val="40"/>
          <w:szCs w:val="40"/>
          <w:rtl/>
          <w:lang w:bidi="ar-DZ"/>
        </w:rPr>
        <w:t xml:space="preserve">باعتبارها الأداة التّي تعتبر عن الوصل العكسي، أمّا الوصل السّببي فتكمن مهمّته في إدراك العلاقة </w:t>
      </w:r>
      <w:r>
        <w:rPr>
          <w:rFonts w:cs="Traditional Arabic"/>
          <w:sz w:val="40"/>
          <w:szCs w:val="40"/>
          <w:rtl/>
          <w:lang w:bidi="ar-DZ"/>
        </w:rPr>
        <w:lastRenderedPageBreak/>
        <w:t>المنطقية بين الجمل ومن أدواته (</w:t>
      </w:r>
      <w:r>
        <w:rPr>
          <w:rFonts w:asciiTheme="majorBidi" w:hAnsiTheme="majorBidi" w:cstheme="majorBidi"/>
          <w:sz w:val="28"/>
          <w:szCs w:val="28"/>
          <w:lang w:val="en-US" w:bidi="ar-DZ"/>
        </w:rPr>
        <w:t>Therefore</w:t>
      </w:r>
      <w:r>
        <w:rPr>
          <w:rFonts w:asciiTheme="majorBidi" w:hAnsiTheme="majorBidi" w:cstheme="majorBidi"/>
          <w:sz w:val="28"/>
          <w:szCs w:val="28"/>
          <w:lang w:bidi="ar-DZ"/>
        </w:rPr>
        <w:t xml:space="preserve">, </w:t>
      </w:r>
      <w:r>
        <w:rPr>
          <w:rFonts w:asciiTheme="majorBidi" w:hAnsiTheme="majorBidi" w:cstheme="majorBidi"/>
          <w:sz w:val="28"/>
          <w:szCs w:val="28"/>
          <w:lang w:val="en-US" w:bidi="ar-DZ"/>
        </w:rPr>
        <w:t>Hence</w:t>
      </w:r>
      <w:r>
        <w:rPr>
          <w:rFonts w:asciiTheme="majorBidi" w:hAnsiTheme="majorBidi" w:cstheme="majorBidi"/>
          <w:sz w:val="28"/>
          <w:szCs w:val="28"/>
          <w:lang w:bidi="ar-DZ"/>
        </w:rPr>
        <w:t xml:space="preserve">, </w:t>
      </w:r>
      <w:r>
        <w:rPr>
          <w:rFonts w:asciiTheme="majorBidi" w:hAnsiTheme="majorBidi" w:cstheme="majorBidi"/>
          <w:sz w:val="28"/>
          <w:szCs w:val="28"/>
          <w:lang w:val="en-US" w:bidi="ar-DZ"/>
        </w:rPr>
        <w:t>Thus</w:t>
      </w:r>
      <w:r>
        <w:rPr>
          <w:rFonts w:asciiTheme="majorBidi" w:hAnsiTheme="majorBidi" w:cstheme="majorBidi"/>
          <w:sz w:val="28"/>
          <w:szCs w:val="28"/>
          <w:lang w:bidi="ar-DZ"/>
        </w:rPr>
        <w:t>, So</w:t>
      </w:r>
      <w:r>
        <w:rPr>
          <w:rFonts w:cs="Traditional Arabic"/>
          <w:sz w:val="40"/>
          <w:szCs w:val="40"/>
          <w:rtl/>
          <w:lang w:bidi="ar-DZ"/>
        </w:rPr>
        <w:t xml:space="preserve">)، وأخيرًا الوصل الزمني الذي يجسّد العلاقة بين جملتين متعاقبتين زمنيًا، ومن أدواته في اللغة الإنجليزية </w:t>
      </w:r>
      <w:r>
        <w:rPr>
          <w:rFonts w:asciiTheme="majorBidi" w:hAnsiTheme="majorBidi" w:cstheme="majorBidi"/>
          <w:sz w:val="28"/>
          <w:szCs w:val="28"/>
          <w:lang w:val="en-US" w:bidi="ar-DZ"/>
        </w:rPr>
        <w:t>These</w:t>
      </w:r>
      <w:r>
        <w:rPr>
          <w:rFonts w:cs="Traditional Arabic"/>
          <w:sz w:val="40"/>
          <w:szCs w:val="40"/>
          <w:rtl/>
          <w:lang w:bidi="ar-DZ"/>
        </w:rPr>
        <w:t>.</w:t>
      </w:r>
    </w:p>
    <w:p w:rsidR="0054665F" w:rsidRDefault="0054665F" w:rsidP="0054665F">
      <w:pPr>
        <w:bidi/>
        <w:spacing w:after="0" w:line="240" w:lineRule="auto"/>
        <w:jc w:val="both"/>
        <w:rPr>
          <w:rFonts w:ascii="Times New Roman" w:hAnsi="Times New Roman" w:cs="Times New Roman"/>
          <w:sz w:val="24"/>
          <w:szCs w:val="24"/>
          <w:rtl/>
        </w:rPr>
      </w:pPr>
      <w:r>
        <w:rPr>
          <w:rFonts w:cs="Traditional Arabic"/>
          <w:sz w:val="40"/>
          <w:szCs w:val="40"/>
          <w:rtl/>
          <w:lang w:bidi="ar-DZ"/>
        </w:rPr>
        <w:t>وأمام هذه المقتضيات التصورية المتعلقة بمجال الوصل وأنواعه وأدواته تتجلى صورة ساطعة بأنّ الوظيفة الأساسيّة له تكمن في التماسك بين المتتاليات الجملية وتقوية الروابط والأسباب المعنوية والنحوية والمنطقية المضمرة في أغوار النص، وبالتالي تزويد ومنح النصوص أبعادا ترابطية اتساقية بالدّرجة الأولى تسهم بطريقة مباشرة وغير مباشرة في لملمة أشتات ووحدات النص.</w:t>
      </w:r>
      <w:r>
        <w:rPr>
          <w:rFonts w:ascii="Times New Roman" w:hAnsi="Times New Roman" w:cs="Times New Roman"/>
          <w:sz w:val="24"/>
          <w:szCs w:val="24"/>
        </w:rPr>
        <w:t xml:space="preserve"> </w:t>
      </w:r>
    </w:p>
    <w:p w:rsidR="00807E5E" w:rsidRDefault="00807E5E" w:rsidP="0054665F">
      <w:pPr>
        <w:bidi/>
        <w:jc w:val="both"/>
        <w:rPr>
          <w:rFonts w:hint="cs"/>
          <w:rtl/>
        </w:rPr>
      </w:pPr>
    </w:p>
    <w:sectPr w:rsidR="00807E5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E5E" w:rsidRDefault="00807E5E" w:rsidP="0054665F">
      <w:pPr>
        <w:spacing w:after="0" w:line="240" w:lineRule="auto"/>
      </w:pPr>
      <w:r>
        <w:separator/>
      </w:r>
    </w:p>
  </w:endnote>
  <w:endnote w:type="continuationSeparator" w:id="1">
    <w:p w:rsidR="00807E5E" w:rsidRDefault="00807E5E" w:rsidP="005466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E5E" w:rsidRDefault="00807E5E" w:rsidP="0054665F">
      <w:pPr>
        <w:spacing w:after="0" w:line="240" w:lineRule="auto"/>
      </w:pPr>
      <w:r>
        <w:separator/>
      </w:r>
    </w:p>
  </w:footnote>
  <w:footnote w:type="continuationSeparator" w:id="1">
    <w:p w:rsidR="00807E5E" w:rsidRDefault="00807E5E" w:rsidP="0054665F">
      <w:pPr>
        <w:spacing w:after="0" w:line="240" w:lineRule="auto"/>
      </w:pPr>
      <w:r>
        <w:continuationSeparator/>
      </w:r>
    </w:p>
  </w:footnote>
  <w:footnote w:id="2">
    <w:p w:rsidR="0054665F" w:rsidRDefault="0054665F" w:rsidP="0054665F">
      <w:pPr>
        <w:pStyle w:val="Notedebasdepage"/>
        <w:bidi/>
        <w:rPr>
          <w:rtl/>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54665F"/>
    <w:rsid w:val="001D78CF"/>
    <w:rsid w:val="0054665F"/>
    <w:rsid w:val="00807E5E"/>
    <w:rsid w:val="00A56631"/>
    <w:rsid w:val="00C742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4665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665F"/>
    <w:rPr>
      <w:sz w:val="20"/>
      <w:szCs w:val="20"/>
    </w:rPr>
  </w:style>
  <w:style w:type="character" w:styleId="Appelnotedebasdep">
    <w:name w:val="footnote reference"/>
    <w:basedOn w:val="Policepardfaut"/>
    <w:uiPriority w:val="99"/>
    <w:semiHidden/>
    <w:unhideWhenUsed/>
    <w:rsid w:val="0054665F"/>
    <w:rPr>
      <w:vertAlign w:val="superscript"/>
    </w:rPr>
  </w:style>
</w:styles>
</file>

<file path=word/webSettings.xml><?xml version="1.0" encoding="utf-8"?>
<w:webSettings xmlns:r="http://schemas.openxmlformats.org/officeDocument/2006/relationships" xmlns:w="http://schemas.openxmlformats.org/wordprocessingml/2006/main">
  <w:divs>
    <w:div w:id="14849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460</Words>
  <Characters>2535</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cp:lastModifiedBy>
  <cp:revision>5</cp:revision>
  <dcterms:created xsi:type="dcterms:W3CDTF">2021-12-13T23:53:00Z</dcterms:created>
  <dcterms:modified xsi:type="dcterms:W3CDTF">2021-12-13T23:55:00Z</dcterms:modified>
</cp:coreProperties>
</file>