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23" w:rsidRPr="009C6CE8" w:rsidRDefault="00365F23" w:rsidP="00787412">
      <w:pPr>
        <w:jc w:val="center"/>
        <w:rPr>
          <w:rFonts w:asciiTheme="majorBidi" w:hAnsiTheme="majorBidi" w:cstheme="majorBidi"/>
          <w:b/>
          <w:bCs/>
          <w:sz w:val="28"/>
          <w:szCs w:val="28"/>
        </w:rPr>
      </w:pPr>
      <w:r w:rsidRPr="009C6CE8">
        <w:rPr>
          <w:rFonts w:asciiTheme="majorBidi" w:hAnsiTheme="majorBidi" w:cstheme="majorBidi"/>
          <w:b/>
          <w:bCs/>
          <w:sz w:val="28"/>
          <w:szCs w:val="28"/>
        </w:rPr>
        <w:t xml:space="preserve">Cours 1 : </w:t>
      </w:r>
      <w:r w:rsidR="0021230A" w:rsidRPr="009C6CE8">
        <w:rPr>
          <w:rFonts w:asciiTheme="majorBidi" w:hAnsiTheme="majorBidi" w:cstheme="majorBidi"/>
          <w:b/>
          <w:bCs/>
          <w:sz w:val="28"/>
          <w:szCs w:val="28"/>
        </w:rPr>
        <w:t>L</w:t>
      </w:r>
      <w:r w:rsidR="00787412">
        <w:rPr>
          <w:rFonts w:asciiTheme="majorBidi" w:hAnsiTheme="majorBidi" w:cstheme="majorBidi"/>
          <w:b/>
          <w:bCs/>
          <w:sz w:val="28"/>
          <w:szCs w:val="28"/>
        </w:rPr>
        <w:t>es types d</w:t>
      </w:r>
      <w:r w:rsidR="0021230A" w:rsidRPr="009C6CE8">
        <w:rPr>
          <w:rFonts w:asciiTheme="majorBidi" w:hAnsiTheme="majorBidi" w:cstheme="majorBidi"/>
          <w:b/>
          <w:bCs/>
          <w:sz w:val="28"/>
          <w:szCs w:val="28"/>
        </w:rPr>
        <w:t>échantillonnage</w:t>
      </w:r>
    </w:p>
    <w:p w:rsidR="00365F23" w:rsidRPr="009C6CE8" w:rsidRDefault="00365F23"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Introduction :</w:t>
      </w:r>
    </w:p>
    <w:p w:rsidR="0012757E" w:rsidRPr="009C6CE8" w:rsidRDefault="00365F2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Dans la recherche sociologique, il est indispensable de faire appel à la statistique pour une sélection correcte des éléments à étudier.</w:t>
      </w:r>
      <w:r w:rsidR="0012757E" w:rsidRPr="009C6CE8">
        <w:rPr>
          <w:rFonts w:asciiTheme="majorBidi" w:hAnsiTheme="majorBidi" w:cstheme="majorBidi"/>
          <w:sz w:val="28"/>
          <w:szCs w:val="28"/>
        </w:rPr>
        <w:t xml:space="preserve"> Dans ce sens, trois possibilités existent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la totalité de la population comme l’avez fait Emile Durkheim dans son étude sur le suicide fondée sur des statistiques nationales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un échantillon représentatif de la population ou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des composantes non strictement représentatives mais caractéristiques de la population.</w:t>
      </w:r>
      <w:r w:rsidR="00D92FEC">
        <w:rPr>
          <w:rStyle w:val="Appelnotedebasdep"/>
          <w:rFonts w:asciiTheme="majorBidi" w:hAnsiTheme="majorBidi" w:cstheme="majorBidi"/>
          <w:sz w:val="28"/>
          <w:szCs w:val="28"/>
        </w:rPr>
        <w:footnoteReference w:id="2"/>
      </w:r>
      <w:r w:rsidRPr="009C6CE8">
        <w:rPr>
          <w:rFonts w:asciiTheme="majorBidi" w:hAnsiTheme="majorBidi" w:cstheme="majorBidi"/>
          <w:sz w:val="28"/>
          <w:szCs w:val="28"/>
        </w:rPr>
        <w:t xml:space="preserve"> </w:t>
      </w:r>
    </w:p>
    <w:p w:rsidR="000B2234"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w:t>
      </w:r>
      <w:r w:rsidR="0012757E" w:rsidRPr="009C6CE8">
        <w:rPr>
          <w:rFonts w:asciiTheme="majorBidi" w:hAnsiTheme="majorBidi" w:cstheme="majorBidi"/>
          <w:b/>
          <w:bCs/>
          <w:sz w:val="28"/>
          <w:szCs w:val="28"/>
        </w:rPr>
        <w:t>D</w:t>
      </w:r>
      <w:r w:rsidR="00365F23" w:rsidRPr="009C6CE8">
        <w:rPr>
          <w:rFonts w:asciiTheme="majorBidi" w:hAnsiTheme="majorBidi" w:cstheme="majorBidi"/>
          <w:b/>
          <w:bCs/>
          <w:sz w:val="28"/>
          <w:szCs w:val="28"/>
        </w:rPr>
        <w:t>éfinition de quelques concepts clés</w:t>
      </w:r>
      <w:r w:rsidR="0012757E" w:rsidRPr="009C6CE8">
        <w:rPr>
          <w:rFonts w:asciiTheme="majorBidi" w:hAnsiTheme="majorBidi" w:cstheme="majorBidi"/>
          <w:b/>
          <w:bCs/>
          <w:sz w:val="28"/>
          <w:szCs w:val="28"/>
        </w:rPr>
        <w:t> :</w:t>
      </w:r>
    </w:p>
    <w:p w:rsidR="000B2234" w:rsidRPr="009C6CE8" w:rsidRDefault="000B2234"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Avant de présenter les deux types d’échantillons et les sortes d’échantillonnage, nous procèderont d’abord à la définition de quelques concepts clés.</w:t>
      </w:r>
    </w:p>
    <w:p w:rsidR="00CC234D"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A. </w:t>
      </w:r>
      <w:r w:rsidR="000B2234" w:rsidRPr="009C6CE8">
        <w:rPr>
          <w:rFonts w:asciiTheme="majorBidi" w:hAnsiTheme="majorBidi" w:cstheme="majorBidi"/>
          <w:b/>
          <w:bCs/>
          <w:sz w:val="28"/>
          <w:szCs w:val="28"/>
        </w:rPr>
        <w:t xml:space="preserve">Population : </w:t>
      </w:r>
    </w:p>
    <w:p w:rsidR="00F24C4C" w:rsidRPr="009C6CE8" w:rsidRDefault="000A256F" w:rsidP="005A6C2E">
      <w:pPr>
        <w:spacing w:after="0"/>
        <w:jc w:val="both"/>
        <w:rPr>
          <w:rFonts w:asciiTheme="majorBidi" w:hAnsiTheme="majorBidi" w:cstheme="majorBidi"/>
          <w:b/>
          <w:bCs/>
          <w:sz w:val="28"/>
          <w:szCs w:val="28"/>
        </w:rPr>
      </w:pPr>
      <w:r w:rsidRPr="009C6CE8">
        <w:rPr>
          <w:rFonts w:asciiTheme="majorBidi" w:hAnsiTheme="majorBidi" w:cstheme="majorBidi"/>
          <w:sz w:val="28"/>
          <w:szCs w:val="28"/>
        </w:rPr>
        <w:t>Dans « Méthode des Sciences Sociales », Madeleine Grawitz définit la population comme étant « un ensemble dont les éléments sont choisi</w:t>
      </w:r>
      <w:r w:rsidR="005A6C2E">
        <w:rPr>
          <w:rFonts w:asciiTheme="majorBidi" w:hAnsiTheme="majorBidi" w:cstheme="majorBidi"/>
          <w:sz w:val="28"/>
          <w:szCs w:val="28"/>
        </w:rPr>
        <w:t>s</w:t>
      </w:r>
      <w:r w:rsidRPr="009C6CE8">
        <w:rPr>
          <w:rFonts w:asciiTheme="majorBidi" w:hAnsiTheme="majorBidi" w:cstheme="majorBidi"/>
          <w:sz w:val="28"/>
          <w:szCs w:val="28"/>
        </w:rPr>
        <w:t xml:space="preserve"> parce qu’ils possèdent tous une même propriété et qu’ils sont de </w:t>
      </w:r>
      <w:r w:rsidR="005A6C2E">
        <w:rPr>
          <w:rFonts w:asciiTheme="majorBidi" w:hAnsiTheme="majorBidi" w:cstheme="majorBidi"/>
          <w:sz w:val="28"/>
          <w:szCs w:val="28"/>
        </w:rPr>
        <w:t>même nature. Il peut s’agir d’un</w:t>
      </w:r>
      <w:r w:rsidRPr="009C6CE8">
        <w:rPr>
          <w:rFonts w:asciiTheme="majorBidi" w:hAnsiTheme="majorBidi" w:cstheme="majorBidi"/>
          <w:sz w:val="28"/>
          <w:szCs w:val="28"/>
        </w:rPr>
        <w:t xml:space="preserve"> ensemble de personnes classées suiv</w:t>
      </w:r>
      <w:r w:rsidR="005A6C2E">
        <w:rPr>
          <w:rFonts w:asciiTheme="majorBidi" w:hAnsiTheme="majorBidi" w:cstheme="majorBidi"/>
          <w:sz w:val="28"/>
          <w:szCs w:val="28"/>
        </w:rPr>
        <w:t>ant un critère donné</w:t>
      </w:r>
      <w:r w:rsidRPr="009C6CE8">
        <w:rPr>
          <w:rFonts w:asciiTheme="majorBidi" w:hAnsiTheme="majorBidi" w:cstheme="majorBidi"/>
          <w:sz w:val="28"/>
          <w:szCs w:val="28"/>
        </w:rPr>
        <w:t> (ethnique, social, national, etc.), comme d’un ensemble d’objets : population de plantes, d’animaux, de pièces de fabrication, d’étoiles, etc. »</w:t>
      </w:r>
      <w:r w:rsidR="00D92FEC">
        <w:rPr>
          <w:rStyle w:val="Appelnotedebasdep"/>
          <w:rFonts w:asciiTheme="majorBidi" w:hAnsiTheme="majorBidi" w:cstheme="majorBidi"/>
          <w:sz w:val="28"/>
          <w:szCs w:val="28"/>
        </w:rPr>
        <w:footnoteReference w:id="3"/>
      </w:r>
    </w:p>
    <w:p w:rsidR="000A256F" w:rsidRPr="009C6CE8" w:rsidRDefault="000A256F"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Une population se reconnait donc au moyen d’un critère montrant que ses éléments ont une caractéristique commune ou sont de même nature</w:t>
      </w:r>
      <w:r w:rsidR="00C3735E" w:rsidRPr="009C6CE8">
        <w:rPr>
          <w:rFonts w:asciiTheme="majorBidi" w:hAnsiTheme="majorBidi" w:cstheme="majorBidi"/>
          <w:sz w:val="28"/>
          <w:szCs w:val="28"/>
        </w:rPr>
        <w:t xml:space="preserve"> (l’ensemble des étudiants est une population définie à l’aide d’une caractéristique commune qui consiste à être en situation d’étude)</w:t>
      </w:r>
      <w:r w:rsidRPr="009C6CE8">
        <w:rPr>
          <w:rFonts w:asciiTheme="majorBidi" w:hAnsiTheme="majorBidi" w:cstheme="majorBidi"/>
          <w:sz w:val="28"/>
          <w:szCs w:val="28"/>
        </w:rPr>
        <w:t>. Il est évide</w:t>
      </w:r>
      <w:r w:rsidR="00C3735E" w:rsidRPr="009C6CE8">
        <w:rPr>
          <w:rFonts w:asciiTheme="majorBidi" w:hAnsiTheme="majorBidi" w:cstheme="majorBidi"/>
          <w:sz w:val="28"/>
          <w:szCs w:val="28"/>
        </w:rPr>
        <w:t>m</w:t>
      </w:r>
      <w:r w:rsidRPr="009C6CE8">
        <w:rPr>
          <w:rFonts w:asciiTheme="majorBidi" w:hAnsiTheme="majorBidi" w:cstheme="majorBidi"/>
          <w:sz w:val="28"/>
          <w:szCs w:val="28"/>
        </w:rPr>
        <w:t xml:space="preserve">ment </w:t>
      </w:r>
      <w:r w:rsidR="00C3735E" w:rsidRPr="009C6CE8">
        <w:rPr>
          <w:rFonts w:asciiTheme="majorBidi" w:hAnsiTheme="majorBidi" w:cstheme="majorBidi"/>
          <w:sz w:val="28"/>
          <w:szCs w:val="28"/>
        </w:rPr>
        <w:t>également possible de construire une population plus complexe définie à l’aide de plus d’un critère (l’ensemble des étudiants de l’université de Bejaia est une population complexe définie à l’aide de deux caractéristiques communes qui consiste à être à la fois en situation d’étude et inscrits à l’université de Bejaia).</w:t>
      </w:r>
    </w:p>
    <w:p w:rsidR="000B2234" w:rsidRPr="009C6CE8" w:rsidRDefault="00F24C4C"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En résumé, la population est donc, un</w:t>
      </w:r>
      <w:r w:rsidRPr="009C6CE8">
        <w:rPr>
          <w:rFonts w:asciiTheme="majorBidi" w:hAnsiTheme="majorBidi" w:cstheme="majorBidi"/>
          <w:b/>
          <w:bCs/>
          <w:sz w:val="28"/>
          <w:szCs w:val="28"/>
        </w:rPr>
        <w:t xml:space="preserve"> </w:t>
      </w:r>
      <w:r w:rsidR="000B2234" w:rsidRPr="009C6CE8">
        <w:rPr>
          <w:rFonts w:asciiTheme="majorBidi" w:hAnsiTheme="majorBidi" w:cstheme="majorBidi"/>
          <w:sz w:val="28"/>
          <w:szCs w:val="28"/>
        </w:rPr>
        <w:t>ensemble d’éléments ayant une ou plusieurs caractéristiques en communs qui les distinguent d’autres éléments et sur lesquels porte l’investigation.</w:t>
      </w:r>
      <w:r w:rsidR="00D92FEC">
        <w:rPr>
          <w:rStyle w:val="Appelnotedebasdep"/>
          <w:rFonts w:asciiTheme="majorBidi" w:hAnsiTheme="majorBidi" w:cstheme="majorBidi"/>
          <w:sz w:val="28"/>
          <w:szCs w:val="28"/>
        </w:rPr>
        <w:footnoteReference w:id="4"/>
      </w:r>
    </w:p>
    <w:p w:rsidR="00CC234D"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b/>
          <w:bCs/>
          <w:sz w:val="28"/>
          <w:szCs w:val="28"/>
        </w:rPr>
        <w:t xml:space="preserve">I. B. </w:t>
      </w:r>
      <w:r w:rsidR="00C3735E" w:rsidRPr="009C6CE8">
        <w:rPr>
          <w:rFonts w:asciiTheme="majorBidi" w:hAnsiTheme="majorBidi" w:cstheme="majorBidi"/>
          <w:b/>
          <w:bCs/>
          <w:sz w:val="28"/>
          <w:szCs w:val="28"/>
        </w:rPr>
        <w:t xml:space="preserve">Effectif : </w:t>
      </w:r>
    </w:p>
    <w:p w:rsidR="00422B32" w:rsidRPr="009C6CE8" w:rsidRDefault="00CC234D" w:rsidP="00422B32">
      <w:pPr>
        <w:spacing w:after="0"/>
        <w:jc w:val="both"/>
        <w:rPr>
          <w:rFonts w:asciiTheme="majorBidi" w:hAnsiTheme="majorBidi" w:cstheme="majorBidi"/>
          <w:sz w:val="28"/>
          <w:szCs w:val="28"/>
        </w:rPr>
      </w:pPr>
      <w:r w:rsidRPr="009C6CE8">
        <w:rPr>
          <w:rFonts w:asciiTheme="majorBidi" w:hAnsiTheme="majorBidi" w:cstheme="majorBidi"/>
          <w:sz w:val="28"/>
          <w:szCs w:val="28"/>
        </w:rPr>
        <w:t>N</w:t>
      </w:r>
      <w:r w:rsidR="00C3735E" w:rsidRPr="009C6CE8">
        <w:rPr>
          <w:rFonts w:asciiTheme="majorBidi" w:hAnsiTheme="majorBidi" w:cstheme="majorBidi"/>
          <w:sz w:val="28"/>
          <w:szCs w:val="28"/>
        </w:rPr>
        <w:t>ombre total d’élément dans une population donnée.</w:t>
      </w:r>
      <w:r w:rsidR="00D92FEC">
        <w:rPr>
          <w:rStyle w:val="Appelnotedebasdep"/>
          <w:rFonts w:asciiTheme="majorBidi" w:hAnsiTheme="majorBidi" w:cstheme="majorBidi"/>
          <w:sz w:val="28"/>
          <w:szCs w:val="28"/>
        </w:rPr>
        <w:footnoteReference w:id="5"/>
      </w:r>
    </w:p>
    <w:p w:rsidR="00422B32"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b/>
          <w:bCs/>
          <w:sz w:val="28"/>
          <w:szCs w:val="28"/>
        </w:rPr>
        <w:lastRenderedPageBreak/>
        <w:t xml:space="preserve">I. C. </w:t>
      </w:r>
      <w:r w:rsidR="00422B32" w:rsidRPr="009C6CE8">
        <w:rPr>
          <w:rFonts w:asciiTheme="majorBidi" w:hAnsiTheme="majorBidi" w:cstheme="majorBidi"/>
          <w:b/>
          <w:bCs/>
          <w:sz w:val="28"/>
          <w:szCs w:val="28"/>
        </w:rPr>
        <w:t>Base de population </w:t>
      </w:r>
      <w:r w:rsidR="009937B2" w:rsidRPr="009C6CE8">
        <w:rPr>
          <w:rFonts w:asciiTheme="majorBidi" w:hAnsiTheme="majorBidi" w:cstheme="majorBidi"/>
          <w:b/>
          <w:bCs/>
          <w:sz w:val="28"/>
          <w:szCs w:val="28"/>
        </w:rPr>
        <w:t>ou de sondage</w:t>
      </w:r>
      <w:r w:rsidR="00422B32" w:rsidRPr="009C6CE8">
        <w:rPr>
          <w:rFonts w:asciiTheme="majorBidi" w:hAnsiTheme="majorBidi" w:cstheme="majorBidi"/>
          <w:b/>
          <w:bCs/>
          <w:sz w:val="28"/>
          <w:szCs w:val="28"/>
        </w:rPr>
        <w:t xml:space="preserve">: </w:t>
      </w:r>
      <w:r w:rsidR="00422B32" w:rsidRPr="009C6CE8">
        <w:rPr>
          <w:rFonts w:asciiTheme="majorBidi" w:hAnsiTheme="majorBidi" w:cstheme="majorBidi"/>
          <w:sz w:val="28"/>
          <w:szCs w:val="28"/>
        </w:rPr>
        <w:t>Liste complète</w:t>
      </w:r>
      <w:r w:rsidR="00E41E63" w:rsidRPr="009C6CE8">
        <w:rPr>
          <w:rFonts w:asciiTheme="majorBidi" w:hAnsiTheme="majorBidi" w:cstheme="majorBidi"/>
          <w:sz w:val="28"/>
          <w:szCs w:val="28"/>
        </w:rPr>
        <w:t xml:space="preserve"> des éléments d’une population.</w:t>
      </w:r>
      <w:r w:rsidR="00D92FEC">
        <w:rPr>
          <w:rStyle w:val="Appelnotedebasdep"/>
          <w:rFonts w:asciiTheme="majorBidi" w:hAnsiTheme="majorBidi" w:cstheme="majorBidi"/>
          <w:sz w:val="28"/>
          <w:szCs w:val="28"/>
        </w:rPr>
        <w:footnoteReference w:id="6"/>
      </w:r>
    </w:p>
    <w:p w:rsidR="00CC234D" w:rsidRPr="009C6CE8" w:rsidRDefault="00422B32"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D. </w:t>
      </w:r>
      <w:r w:rsidR="000B2234" w:rsidRPr="009C6CE8">
        <w:rPr>
          <w:rFonts w:asciiTheme="majorBidi" w:hAnsiTheme="majorBidi" w:cstheme="majorBidi"/>
          <w:b/>
          <w:bCs/>
          <w:sz w:val="28"/>
          <w:szCs w:val="28"/>
        </w:rPr>
        <w:t xml:space="preserve">Echantillon : </w:t>
      </w:r>
    </w:p>
    <w:p w:rsidR="000B2234" w:rsidRPr="009C6CE8" w:rsidRDefault="000B2234"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Sous-ensemble d’élément d’une population donnée.</w:t>
      </w:r>
      <w:r w:rsidR="00D92FEC">
        <w:rPr>
          <w:rStyle w:val="Appelnotedebasdep"/>
          <w:rFonts w:asciiTheme="majorBidi" w:hAnsiTheme="majorBidi" w:cstheme="majorBidi"/>
          <w:sz w:val="28"/>
          <w:szCs w:val="28"/>
        </w:rPr>
        <w:footnoteReference w:id="7"/>
      </w:r>
    </w:p>
    <w:p w:rsidR="00CC234D" w:rsidRPr="009C6CE8" w:rsidRDefault="00422B32" w:rsidP="00422B32">
      <w:pPr>
        <w:spacing w:after="0"/>
        <w:jc w:val="both"/>
        <w:rPr>
          <w:rFonts w:asciiTheme="majorBidi" w:hAnsiTheme="majorBidi" w:cstheme="majorBidi"/>
          <w:sz w:val="28"/>
          <w:szCs w:val="28"/>
        </w:rPr>
      </w:pPr>
      <w:r w:rsidRPr="009C6CE8">
        <w:rPr>
          <w:rFonts w:asciiTheme="majorBidi" w:hAnsiTheme="majorBidi" w:cstheme="majorBidi"/>
          <w:b/>
          <w:bCs/>
          <w:sz w:val="28"/>
          <w:szCs w:val="28"/>
        </w:rPr>
        <w:t xml:space="preserve">I. E. </w:t>
      </w:r>
      <w:r w:rsidR="00F24C4C" w:rsidRPr="009C6CE8">
        <w:rPr>
          <w:rFonts w:asciiTheme="majorBidi" w:hAnsiTheme="majorBidi" w:cstheme="majorBidi"/>
          <w:b/>
          <w:bCs/>
          <w:sz w:val="28"/>
          <w:szCs w:val="28"/>
        </w:rPr>
        <w:t>E</w:t>
      </w:r>
      <w:r w:rsidR="000B2234" w:rsidRPr="009C6CE8">
        <w:rPr>
          <w:rFonts w:asciiTheme="majorBidi" w:hAnsiTheme="majorBidi" w:cstheme="majorBidi"/>
          <w:b/>
          <w:bCs/>
          <w:sz w:val="28"/>
          <w:szCs w:val="28"/>
        </w:rPr>
        <w:t xml:space="preserve">chantillonnage : </w:t>
      </w:r>
    </w:p>
    <w:p w:rsidR="000B2234"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E</w:t>
      </w:r>
      <w:r w:rsidR="000B2234" w:rsidRPr="009C6CE8">
        <w:rPr>
          <w:rFonts w:asciiTheme="majorBidi" w:hAnsiTheme="majorBidi" w:cstheme="majorBidi"/>
          <w:sz w:val="28"/>
          <w:szCs w:val="28"/>
        </w:rPr>
        <w:t>nsembles des</w:t>
      </w:r>
      <w:r w:rsidRPr="009C6CE8">
        <w:rPr>
          <w:rFonts w:asciiTheme="majorBidi" w:hAnsiTheme="majorBidi" w:cstheme="majorBidi"/>
          <w:sz w:val="28"/>
          <w:szCs w:val="28"/>
        </w:rPr>
        <w:t xml:space="preserve"> opérations permettant de </w:t>
      </w:r>
      <w:r w:rsidR="000B2234" w:rsidRPr="009C6CE8">
        <w:rPr>
          <w:rFonts w:asciiTheme="majorBidi" w:hAnsiTheme="majorBidi" w:cstheme="majorBidi"/>
          <w:sz w:val="28"/>
          <w:szCs w:val="28"/>
        </w:rPr>
        <w:t>sélectionner un sous-ensemble d’une population en vue de construire un échantillon.</w:t>
      </w:r>
      <w:r w:rsidR="00D92FEC">
        <w:rPr>
          <w:rStyle w:val="Appelnotedebasdep"/>
          <w:rFonts w:asciiTheme="majorBidi" w:hAnsiTheme="majorBidi" w:cstheme="majorBidi"/>
          <w:sz w:val="28"/>
          <w:szCs w:val="28"/>
        </w:rPr>
        <w:footnoteReference w:id="8"/>
      </w:r>
      <w:r w:rsidR="000B2234" w:rsidRPr="009C6CE8">
        <w:rPr>
          <w:rFonts w:asciiTheme="majorBidi" w:hAnsiTheme="majorBidi" w:cstheme="majorBidi"/>
          <w:sz w:val="28"/>
          <w:szCs w:val="28"/>
        </w:rPr>
        <w:t xml:space="preserve"> </w:t>
      </w:r>
    </w:p>
    <w:p w:rsidR="00CC234D"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 La construction d’un échantillon de recherche :</w:t>
      </w:r>
    </w:p>
    <w:p w:rsidR="00E41E63" w:rsidRPr="009C6CE8" w:rsidRDefault="00E41E6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Il existe différentes façons de choisir la fraction de la population sur laquelle portera l’investigation. Généralement, la définition du problème oriente vers un type d’échantillonnage et, à l’intérieurs de celui-ci, vers une sorte d’échantillonnage plus particulière, mais il peut arriver que la définition de la population conduise à un choix plus complexe.</w:t>
      </w:r>
    </w:p>
    <w:p w:rsidR="00422B32" w:rsidRPr="009C6CE8" w:rsidRDefault="00E41E6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Quant au choix des procédés de sélection des éléments, tirages ou tris, il dépend des moyens disponibles pour joindre ces éléments. Il n’existe donc pas d’échantillon meilleur d’un autre. C’est </w:t>
      </w:r>
      <w:r w:rsidR="00370CB6" w:rsidRPr="009C6CE8">
        <w:rPr>
          <w:rFonts w:asciiTheme="majorBidi" w:hAnsiTheme="majorBidi" w:cstheme="majorBidi"/>
          <w:sz w:val="28"/>
          <w:szCs w:val="28"/>
        </w:rPr>
        <w:t>celui qui répond le mieux aux exigences de la définition du problème qui est le plus adéquat ou le meilleur dans les circonstances</w:t>
      </w:r>
      <w:r w:rsidRPr="009C6CE8">
        <w:rPr>
          <w:rFonts w:asciiTheme="majorBidi" w:hAnsiTheme="majorBidi" w:cstheme="majorBidi"/>
          <w:sz w:val="28"/>
          <w:szCs w:val="28"/>
        </w:rPr>
        <w:t>.</w:t>
      </w:r>
      <w:r w:rsidR="00D92FEC">
        <w:rPr>
          <w:rStyle w:val="Appelnotedebasdep"/>
          <w:rFonts w:asciiTheme="majorBidi" w:hAnsiTheme="majorBidi" w:cstheme="majorBidi"/>
          <w:sz w:val="28"/>
          <w:szCs w:val="28"/>
        </w:rPr>
        <w:footnoteReference w:id="9"/>
      </w:r>
      <w:r w:rsidRPr="009C6CE8">
        <w:rPr>
          <w:rFonts w:asciiTheme="majorBidi" w:hAnsiTheme="majorBidi" w:cstheme="majorBidi"/>
          <w:sz w:val="28"/>
          <w:szCs w:val="28"/>
        </w:rPr>
        <w:t xml:space="preserve"> </w:t>
      </w:r>
    </w:p>
    <w:p w:rsidR="00370CB6" w:rsidRPr="009C6CE8" w:rsidRDefault="00370CB6"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III. Les types d’échantillonnage : </w:t>
      </w:r>
    </w:p>
    <w:p w:rsidR="00370CB6" w:rsidRPr="009C6CE8" w:rsidRDefault="00370CB6" w:rsidP="00370CB6">
      <w:pPr>
        <w:spacing w:after="0"/>
        <w:jc w:val="both"/>
        <w:rPr>
          <w:rFonts w:asciiTheme="majorBidi" w:hAnsiTheme="majorBidi" w:cstheme="majorBidi"/>
          <w:sz w:val="28"/>
          <w:szCs w:val="28"/>
        </w:rPr>
      </w:pPr>
      <w:r w:rsidRPr="009C6CE8">
        <w:rPr>
          <w:rFonts w:asciiTheme="majorBidi" w:hAnsiTheme="majorBidi" w:cstheme="majorBidi"/>
          <w:sz w:val="28"/>
          <w:szCs w:val="28"/>
        </w:rPr>
        <w:t>Il existe deux types d’échantillonnage qui sont : l’échantillonnage probabiliste et l’échantillonnage non probabiliste.</w:t>
      </w:r>
      <w:r w:rsidR="00D92FEC">
        <w:rPr>
          <w:rStyle w:val="Appelnotedebasdep"/>
          <w:rFonts w:asciiTheme="majorBidi" w:hAnsiTheme="majorBidi" w:cstheme="majorBidi"/>
          <w:sz w:val="28"/>
          <w:szCs w:val="28"/>
        </w:rPr>
        <w:footnoteReference w:id="10"/>
      </w:r>
    </w:p>
    <w:p w:rsidR="00370CB6" w:rsidRPr="009C6CE8" w:rsidRDefault="00370CB6" w:rsidP="00370CB6">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III. A.  L’échantillonnage probabiliste :</w:t>
      </w:r>
    </w:p>
    <w:p w:rsidR="00370CB6" w:rsidRPr="009C6CE8" w:rsidRDefault="00370CB6" w:rsidP="00370CB6">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L’échantillonnage probabiliste est appelé ainsi parce qu’il s’appuie sur la théorie des probabilités, selon laquelle il est possible de calculer la probabilité qu’un événement se produise. Dans ce sens, </w:t>
      </w:r>
      <w:r w:rsidR="00121BC8" w:rsidRPr="009C6CE8">
        <w:rPr>
          <w:rFonts w:asciiTheme="majorBidi" w:hAnsiTheme="majorBidi" w:cstheme="majorBidi"/>
          <w:sz w:val="28"/>
          <w:szCs w:val="28"/>
        </w:rPr>
        <w:t>un échantillon est probabiliste si chacun des éléments de la population  a une chance déterminée e</w:t>
      </w:r>
      <w:r w:rsidR="005A6C2E">
        <w:rPr>
          <w:rFonts w:asciiTheme="majorBidi" w:hAnsiTheme="majorBidi" w:cstheme="majorBidi"/>
          <w:sz w:val="28"/>
          <w:szCs w:val="28"/>
        </w:rPr>
        <w:t>t</w:t>
      </w:r>
      <w:r w:rsidR="00121BC8" w:rsidRPr="009C6CE8">
        <w:rPr>
          <w:rFonts w:asciiTheme="majorBidi" w:hAnsiTheme="majorBidi" w:cstheme="majorBidi"/>
          <w:sz w:val="28"/>
          <w:szCs w:val="28"/>
        </w:rPr>
        <w:t xml:space="preserve"> connue à l’avance d’être sélectionné pour faire partie de l’échantillon.</w:t>
      </w:r>
      <w:r w:rsidR="00D92FEC">
        <w:rPr>
          <w:rStyle w:val="Appelnotedebasdep"/>
          <w:rFonts w:asciiTheme="majorBidi" w:hAnsiTheme="majorBidi" w:cstheme="majorBidi"/>
          <w:sz w:val="28"/>
          <w:szCs w:val="28"/>
        </w:rPr>
        <w:footnoteReference w:id="11"/>
      </w:r>
      <w:r w:rsidR="00121BC8" w:rsidRPr="009C6CE8">
        <w:rPr>
          <w:rFonts w:asciiTheme="majorBidi" w:hAnsiTheme="majorBidi" w:cstheme="majorBidi"/>
          <w:sz w:val="28"/>
          <w:szCs w:val="28"/>
        </w:rPr>
        <w:t xml:space="preserve"> </w:t>
      </w:r>
      <w:r w:rsidRPr="009C6CE8">
        <w:rPr>
          <w:rFonts w:asciiTheme="majorBidi" w:hAnsiTheme="majorBidi" w:cstheme="majorBidi"/>
          <w:sz w:val="28"/>
          <w:szCs w:val="28"/>
        </w:rPr>
        <w:t xml:space="preserve"> </w:t>
      </w:r>
    </w:p>
    <w:p w:rsidR="00370CB6" w:rsidRPr="009C6CE8" w:rsidRDefault="00370CB6" w:rsidP="00370CB6">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III. B. L’échantillonnage non probabiliste :</w:t>
      </w:r>
    </w:p>
    <w:p w:rsidR="00370CB6" w:rsidRPr="009C6CE8" w:rsidRDefault="00121BC8" w:rsidP="009937B2">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Quand le but premier de la recherche n’est pas de généraliser les résultats à toute la population, la définition du problème ne nécessite pas un échantillonnage probabiliste. C’est notamment le cas lorsqu’il s’agit d’une étude portant sur quelques éléments seulement de la population ou d’une recherche visant à approfondir la compréhension de divers types de comportements, sans égard à </w:t>
      </w:r>
      <w:r w:rsidRPr="009C6CE8">
        <w:rPr>
          <w:rFonts w:asciiTheme="majorBidi" w:hAnsiTheme="majorBidi" w:cstheme="majorBidi"/>
          <w:sz w:val="28"/>
          <w:szCs w:val="28"/>
        </w:rPr>
        <w:lastRenderedPageBreak/>
        <w:t xml:space="preserve">leur poids relatif dans la population. Il peut arriver que certaines circonstances –une </w:t>
      </w:r>
      <w:r w:rsidR="009937B2" w:rsidRPr="009C6CE8">
        <w:rPr>
          <w:rFonts w:asciiTheme="majorBidi" w:hAnsiTheme="majorBidi" w:cstheme="majorBidi"/>
          <w:sz w:val="28"/>
          <w:szCs w:val="28"/>
        </w:rPr>
        <w:t>base de population incomplète, un accès restreint à la population, temps limité, des ressources minimes ou tout autre obstacle important– empêchent de procéder à un échantillonnage probabiliste. Dans tous ces cas, il demeure possible de constituer un échantillon en recourant à un échantillonnage  non  probabiliste.</w:t>
      </w:r>
      <w:r w:rsidR="00D92FEC">
        <w:rPr>
          <w:rStyle w:val="Appelnotedebasdep"/>
          <w:rFonts w:asciiTheme="majorBidi" w:hAnsiTheme="majorBidi" w:cstheme="majorBidi"/>
          <w:sz w:val="28"/>
          <w:szCs w:val="28"/>
        </w:rPr>
        <w:footnoteReference w:id="12"/>
      </w:r>
    </w:p>
    <w:p w:rsidR="009937B2" w:rsidRDefault="009937B2" w:rsidP="009937B2">
      <w:pPr>
        <w:spacing w:after="0"/>
        <w:jc w:val="both"/>
        <w:rPr>
          <w:rFonts w:asciiTheme="majorBidi" w:hAnsiTheme="majorBidi" w:cstheme="majorBidi"/>
          <w:sz w:val="28"/>
          <w:szCs w:val="28"/>
        </w:rPr>
      </w:pPr>
    </w:p>
    <w:p w:rsidR="009C6CE8" w:rsidRPr="009C6CE8" w:rsidRDefault="009C6CE8" w:rsidP="009937B2">
      <w:pPr>
        <w:spacing w:after="0"/>
        <w:jc w:val="both"/>
        <w:rPr>
          <w:rFonts w:asciiTheme="majorBidi" w:hAnsiTheme="majorBidi" w:cstheme="majorBidi"/>
          <w:sz w:val="28"/>
          <w:szCs w:val="28"/>
        </w:rPr>
      </w:pPr>
    </w:p>
    <w:tbl>
      <w:tblPr>
        <w:tblStyle w:val="Grilledutableau"/>
        <w:tblW w:w="0" w:type="auto"/>
        <w:tblLook w:val="04A0"/>
      </w:tblPr>
      <w:tblGrid>
        <w:gridCol w:w="3070"/>
        <w:gridCol w:w="3071"/>
        <w:gridCol w:w="3071"/>
      </w:tblGrid>
      <w:tr w:rsidR="000C51D2" w:rsidRPr="009C6CE8" w:rsidTr="002A0579">
        <w:tc>
          <w:tcPr>
            <w:tcW w:w="3070" w:type="dxa"/>
            <w:vMerge w:val="restart"/>
          </w:tcPr>
          <w:p w:rsidR="000C51D2" w:rsidRPr="009C6CE8" w:rsidRDefault="000C51D2" w:rsidP="000C51D2">
            <w:pPr>
              <w:jc w:val="center"/>
              <w:rPr>
                <w:rFonts w:asciiTheme="majorBidi" w:hAnsiTheme="majorBidi" w:cstheme="majorBidi"/>
                <w:b/>
                <w:bCs/>
                <w:sz w:val="28"/>
                <w:szCs w:val="28"/>
              </w:rPr>
            </w:pPr>
            <w:r w:rsidRPr="009C6CE8">
              <w:rPr>
                <w:rFonts w:asciiTheme="majorBidi" w:hAnsiTheme="majorBidi" w:cstheme="majorBidi"/>
                <w:b/>
                <w:bCs/>
                <w:sz w:val="28"/>
                <w:szCs w:val="28"/>
              </w:rPr>
              <w:t>Critère de comparaison</w:t>
            </w:r>
          </w:p>
        </w:tc>
        <w:tc>
          <w:tcPr>
            <w:tcW w:w="6142" w:type="dxa"/>
            <w:gridSpan w:val="2"/>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 xml:space="preserve">Type d’échantillonnage  </w:t>
            </w:r>
          </w:p>
        </w:tc>
      </w:tr>
      <w:tr w:rsidR="000C51D2" w:rsidRPr="009C6CE8" w:rsidTr="009937B2">
        <w:tc>
          <w:tcPr>
            <w:tcW w:w="3070" w:type="dxa"/>
            <w:vMerge/>
          </w:tcPr>
          <w:p w:rsidR="000C51D2" w:rsidRPr="009C6CE8" w:rsidRDefault="000C51D2" w:rsidP="000C51D2">
            <w:pPr>
              <w:jc w:val="center"/>
              <w:rPr>
                <w:rFonts w:asciiTheme="majorBidi" w:hAnsiTheme="majorBidi" w:cstheme="majorBidi"/>
                <w:sz w:val="28"/>
                <w:szCs w:val="28"/>
              </w:rPr>
            </w:pPr>
          </w:p>
        </w:tc>
        <w:tc>
          <w:tcPr>
            <w:tcW w:w="3071" w:type="dxa"/>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Echantillonnage  probabiliste</w:t>
            </w:r>
          </w:p>
        </w:tc>
        <w:tc>
          <w:tcPr>
            <w:tcW w:w="3071" w:type="dxa"/>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Echantillonnage  non  probabiliste</w:t>
            </w:r>
          </w:p>
        </w:tc>
      </w:tr>
      <w:tr w:rsidR="009937B2" w:rsidRPr="009C6CE8" w:rsidTr="009937B2">
        <w:tc>
          <w:tcPr>
            <w:tcW w:w="3070" w:type="dxa"/>
          </w:tcPr>
          <w:p w:rsidR="009937B2" w:rsidRPr="009C6CE8" w:rsidRDefault="009937B2" w:rsidP="000C51D2">
            <w:pPr>
              <w:jc w:val="center"/>
              <w:rPr>
                <w:rFonts w:asciiTheme="majorBidi" w:hAnsiTheme="majorBidi" w:cstheme="majorBidi"/>
                <w:sz w:val="28"/>
                <w:szCs w:val="28"/>
              </w:rPr>
            </w:pPr>
            <w:r w:rsidRPr="009C6CE8">
              <w:rPr>
                <w:rFonts w:asciiTheme="majorBidi" w:hAnsiTheme="majorBidi" w:cstheme="majorBidi"/>
                <w:sz w:val="28"/>
                <w:szCs w:val="28"/>
              </w:rPr>
              <w:t>Base de population</w:t>
            </w:r>
          </w:p>
        </w:tc>
        <w:tc>
          <w:tcPr>
            <w:tcW w:w="3071" w:type="dxa"/>
          </w:tcPr>
          <w:p w:rsidR="009937B2" w:rsidRPr="009C6CE8" w:rsidRDefault="009937B2" w:rsidP="009937B2">
            <w:pPr>
              <w:jc w:val="both"/>
              <w:rPr>
                <w:rFonts w:asciiTheme="majorBidi" w:hAnsiTheme="majorBidi" w:cstheme="majorBidi"/>
                <w:sz w:val="28"/>
                <w:szCs w:val="28"/>
              </w:rPr>
            </w:pPr>
            <w:r w:rsidRPr="009C6CE8">
              <w:rPr>
                <w:rFonts w:asciiTheme="majorBidi" w:hAnsiTheme="majorBidi" w:cstheme="majorBidi"/>
                <w:sz w:val="28"/>
                <w:szCs w:val="28"/>
              </w:rPr>
              <w:t>Il nécessite une base de population</w:t>
            </w:r>
          </w:p>
        </w:tc>
        <w:tc>
          <w:tcPr>
            <w:tcW w:w="3071" w:type="dxa"/>
          </w:tcPr>
          <w:p w:rsidR="009937B2"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Il ne nécessite pas une base de population</w:t>
            </w:r>
          </w:p>
        </w:tc>
      </w:tr>
      <w:tr w:rsidR="000C51D2" w:rsidRPr="009C6CE8" w:rsidTr="009937B2">
        <w:tc>
          <w:tcPr>
            <w:tcW w:w="3070" w:type="dxa"/>
          </w:tcPr>
          <w:p w:rsidR="000C51D2" w:rsidRPr="009C6CE8" w:rsidRDefault="000C51D2" w:rsidP="004149A1">
            <w:pPr>
              <w:jc w:val="both"/>
              <w:rPr>
                <w:rFonts w:asciiTheme="majorBidi" w:hAnsiTheme="majorBidi" w:cstheme="majorBidi"/>
                <w:sz w:val="28"/>
                <w:szCs w:val="28"/>
              </w:rPr>
            </w:pPr>
            <w:r w:rsidRPr="009C6CE8">
              <w:rPr>
                <w:rFonts w:asciiTheme="majorBidi" w:hAnsiTheme="majorBidi" w:cstheme="majorBidi"/>
                <w:sz w:val="28"/>
                <w:szCs w:val="28"/>
              </w:rPr>
              <w:t>Calcule de la probabilité qu’un élément so</w:t>
            </w:r>
            <w:r w:rsidR="004149A1" w:rsidRPr="009C6CE8">
              <w:rPr>
                <w:rFonts w:asciiTheme="majorBidi" w:hAnsiTheme="majorBidi" w:cstheme="majorBidi"/>
                <w:sz w:val="28"/>
                <w:szCs w:val="28"/>
              </w:rPr>
              <w:t>i</w:t>
            </w:r>
            <w:r w:rsidRPr="009C6CE8">
              <w:rPr>
                <w:rFonts w:asciiTheme="majorBidi" w:hAnsiTheme="majorBidi" w:cstheme="majorBidi"/>
                <w:sz w:val="28"/>
                <w:szCs w:val="28"/>
              </w:rPr>
              <w:t>t sélectionné</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La connaissance de la probabilité de chaque élément ou individu d’être sélectionné</w:t>
            </w:r>
          </w:p>
        </w:tc>
        <w:tc>
          <w:tcPr>
            <w:tcW w:w="3071" w:type="dxa"/>
          </w:tcPr>
          <w:p w:rsidR="000C51D2" w:rsidRPr="009C6CE8" w:rsidRDefault="000C51D2" w:rsidP="00CE097F">
            <w:pPr>
              <w:jc w:val="both"/>
              <w:rPr>
                <w:rFonts w:asciiTheme="majorBidi" w:hAnsiTheme="majorBidi" w:cstheme="majorBidi"/>
                <w:sz w:val="28"/>
                <w:szCs w:val="28"/>
              </w:rPr>
            </w:pPr>
            <w:r w:rsidRPr="009C6CE8">
              <w:rPr>
                <w:rFonts w:asciiTheme="majorBidi" w:hAnsiTheme="majorBidi" w:cstheme="majorBidi"/>
                <w:sz w:val="28"/>
                <w:szCs w:val="28"/>
              </w:rPr>
              <w:t>La non connaissance de la probabilité de chaque élément ou individu d’être sélectionné</w:t>
            </w:r>
          </w:p>
        </w:tc>
      </w:tr>
      <w:tr w:rsidR="000C51D2" w:rsidRPr="009C6CE8" w:rsidTr="009937B2">
        <w:tc>
          <w:tcPr>
            <w:tcW w:w="3070"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Taille de l’échantillon</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 xml:space="preserve">Un nombre suffisant d’élément de la population </w:t>
            </w:r>
          </w:p>
        </w:tc>
        <w:tc>
          <w:tcPr>
            <w:tcW w:w="3071" w:type="dxa"/>
          </w:tcPr>
          <w:p w:rsidR="000C51D2" w:rsidRPr="009C6CE8" w:rsidRDefault="00E367B2" w:rsidP="009937B2">
            <w:pPr>
              <w:jc w:val="both"/>
              <w:rPr>
                <w:rFonts w:asciiTheme="majorBidi" w:hAnsiTheme="majorBidi" w:cstheme="majorBidi"/>
                <w:sz w:val="28"/>
                <w:szCs w:val="28"/>
              </w:rPr>
            </w:pPr>
            <w:r w:rsidRPr="009C6CE8">
              <w:rPr>
                <w:rFonts w:asciiTheme="majorBidi" w:hAnsiTheme="majorBidi" w:cstheme="majorBidi"/>
                <w:sz w:val="28"/>
                <w:szCs w:val="28"/>
              </w:rPr>
              <w:t>Quelques éléments de la population</w:t>
            </w:r>
          </w:p>
        </w:tc>
      </w:tr>
      <w:tr w:rsidR="000C51D2" w:rsidRPr="009C6CE8" w:rsidTr="009937B2">
        <w:tc>
          <w:tcPr>
            <w:tcW w:w="3070"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Procédé de sélection des éléments</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Un véritable tirage au sort</w:t>
            </w:r>
          </w:p>
        </w:tc>
        <w:tc>
          <w:tcPr>
            <w:tcW w:w="3071" w:type="dxa"/>
          </w:tcPr>
          <w:p w:rsidR="000C51D2" w:rsidRPr="009C6CE8" w:rsidRDefault="00CA709B" w:rsidP="009937B2">
            <w:pPr>
              <w:jc w:val="both"/>
              <w:rPr>
                <w:rFonts w:asciiTheme="majorBidi" w:hAnsiTheme="majorBidi" w:cstheme="majorBidi"/>
                <w:sz w:val="28"/>
                <w:szCs w:val="28"/>
              </w:rPr>
            </w:pPr>
            <w:r w:rsidRPr="009C6CE8">
              <w:rPr>
                <w:rFonts w:asciiTheme="majorBidi" w:hAnsiTheme="majorBidi" w:cstheme="majorBidi"/>
                <w:sz w:val="28"/>
                <w:szCs w:val="28"/>
              </w:rPr>
              <w:t xml:space="preserve">Tri à l’aveuglette, orienté, ou </w:t>
            </w:r>
            <w:r w:rsidR="009C6CE8" w:rsidRPr="009C6CE8">
              <w:rPr>
                <w:rFonts w:asciiTheme="majorBidi" w:hAnsiTheme="majorBidi" w:cstheme="majorBidi"/>
                <w:sz w:val="28"/>
                <w:szCs w:val="28"/>
              </w:rPr>
              <w:t>volontaire</w:t>
            </w:r>
          </w:p>
        </w:tc>
      </w:tr>
      <w:tr w:rsidR="00E367B2" w:rsidRPr="009C6CE8" w:rsidTr="009937B2">
        <w:tc>
          <w:tcPr>
            <w:tcW w:w="3070" w:type="dxa"/>
          </w:tcPr>
          <w:p w:rsidR="00E367B2" w:rsidRPr="009C6CE8" w:rsidRDefault="00E367B2" w:rsidP="009937B2">
            <w:pPr>
              <w:jc w:val="both"/>
              <w:rPr>
                <w:rFonts w:asciiTheme="majorBidi" w:hAnsiTheme="majorBidi" w:cstheme="majorBidi"/>
                <w:sz w:val="28"/>
                <w:szCs w:val="28"/>
              </w:rPr>
            </w:pPr>
            <w:r w:rsidRPr="009C6CE8">
              <w:rPr>
                <w:rFonts w:asciiTheme="majorBidi" w:hAnsiTheme="majorBidi" w:cstheme="majorBidi"/>
                <w:sz w:val="28"/>
                <w:szCs w:val="28"/>
              </w:rPr>
              <w:t>Degré de représentativité de l’échantillon par rapport à la population</w:t>
            </w:r>
          </w:p>
        </w:tc>
        <w:tc>
          <w:tcPr>
            <w:tcW w:w="3071" w:type="dxa"/>
          </w:tcPr>
          <w:p w:rsidR="00E367B2" w:rsidRPr="009C6CE8" w:rsidRDefault="00E367B2" w:rsidP="00E367B2">
            <w:pPr>
              <w:jc w:val="both"/>
              <w:rPr>
                <w:rFonts w:asciiTheme="majorBidi" w:hAnsiTheme="majorBidi" w:cstheme="majorBidi"/>
                <w:sz w:val="28"/>
                <w:szCs w:val="28"/>
              </w:rPr>
            </w:pPr>
            <w:r w:rsidRPr="009C6CE8">
              <w:rPr>
                <w:rFonts w:asciiTheme="majorBidi" w:hAnsiTheme="majorBidi" w:cstheme="majorBidi"/>
                <w:sz w:val="28"/>
                <w:szCs w:val="28"/>
              </w:rPr>
              <w:t>Peut être estimé</w:t>
            </w:r>
          </w:p>
        </w:tc>
        <w:tc>
          <w:tcPr>
            <w:tcW w:w="3071" w:type="dxa"/>
          </w:tcPr>
          <w:p w:rsidR="00E367B2" w:rsidRPr="009C6CE8" w:rsidRDefault="00E367B2" w:rsidP="00E367B2">
            <w:pPr>
              <w:jc w:val="both"/>
              <w:rPr>
                <w:rFonts w:asciiTheme="majorBidi" w:hAnsiTheme="majorBidi" w:cstheme="majorBidi"/>
                <w:sz w:val="28"/>
                <w:szCs w:val="28"/>
              </w:rPr>
            </w:pPr>
            <w:r w:rsidRPr="009C6CE8">
              <w:rPr>
                <w:rFonts w:asciiTheme="majorBidi" w:hAnsiTheme="majorBidi" w:cstheme="majorBidi"/>
                <w:sz w:val="28"/>
                <w:szCs w:val="28"/>
              </w:rPr>
              <w:t>Ne peut pas être estimé</w:t>
            </w:r>
          </w:p>
        </w:tc>
      </w:tr>
      <w:tr w:rsidR="004149A1" w:rsidRPr="009C6CE8" w:rsidTr="009937B2">
        <w:tc>
          <w:tcPr>
            <w:tcW w:w="3070"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 xml:space="preserve">Coûts </w:t>
            </w:r>
          </w:p>
        </w:tc>
        <w:tc>
          <w:tcPr>
            <w:tcW w:w="3071" w:type="dxa"/>
          </w:tcPr>
          <w:p w:rsidR="004149A1"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Souvent plus couteux</w:t>
            </w:r>
          </w:p>
        </w:tc>
        <w:tc>
          <w:tcPr>
            <w:tcW w:w="3071"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Souvent moins couteux</w:t>
            </w:r>
          </w:p>
        </w:tc>
      </w:tr>
      <w:tr w:rsidR="004149A1" w:rsidRPr="009C6CE8" w:rsidTr="009937B2">
        <w:tc>
          <w:tcPr>
            <w:tcW w:w="3070"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Temps</w:t>
            </w:r>
          </w:p>
        </w:tc>
        <w:tc>
          <w:tcPr>
            <w:tcW w:w="3071" w:type="dxa"/>
          </w:tcPr>
          <w:p w:rsidR="004149A1"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Souvent exigent plus de temps</w:t>
            </w:r>
          </w:p>
        </w:tc>
        <w:tc>
          <w:tcPr>
            <w:tcW w:w="3071"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Souvent exigent moins de temps</w:t>
            </w:r>
          </w:p>
        </w:tc>
      </w:tr>
    </w:tbl>
    <w:p w:rsidR="009937B2" w:rsidRPr="009C6CE8" w:rsidRDefault="009937B2" w:rsidP="009937B2">
      <w:pPr>
        <w:spacing w:after="0"/>
        <w:jc w:val="both"/>
        <w:rPr>
          <w:rFonts w:asciiTheme="majorBidi" w:hAnsiTheme="majorBidi" w:cstheme="majorBidi"/>
          <w:sz w:val="28"/>
          <w:szCs w:val="28"/>
        </w:rPr>
      </w:pPr>
    </w:p>
    <w:p w:rsidR="00365F23" w:rsidRPr="009C6CE8" w:rsidRDefault="009C6CE8" w:rsidP="009C6CE8">
      <w:pPr>
        <w:spacing w:after="0"/>
        <w:jc w:val="both"/>
        <w:rPr>
          <w:rFonts w:asciiTheme="majorBidi" w:hAnsiTheme="majorBidi" w:cstheme="majorBidi"/>
          <w:sz w:val="28"/>
          <w:szCs w:val="28"/>
        </w:rPr>
      </w:pPr>
      <w:r>
        <w:rPr>
          <w:rFonts w:asciiTheme="majorBidi" w:hAnsiTheme="majorBidi" w:cstheme="majorBidi"/>
          <w:b/>
          <w:bCs/>
          <w:sz w:val="28"/>
          <w:szCs w:val="28"/>
        </w:rPr>
        <w:t xml:space="preserve">Tableau n° 1 : </w:t>
      </w:r>
      <w:r w:rsidRPr="009C6CE8">
        <w:rPr>
          <w:rFonts w:asciiTheme="majorBidi" w:hAnsiTheme="majorBidi" w:cstheme="majorBidi"/>
          <w:sz w:val="28"/>
          <w:szCs w:val="28"/>
        </w:rPr>
        <w:t>Comparaison entre l’échantillonnage probabiliste et l’échantillonnage  non probabiliste</w:t>
      </w:r>
      <w:r w:rsidR="00D92FEC">
        <w:rPr>
          <w:rStyle w:val="Appelnotedebasdep"/>
          <w:rFonts w:asciiTheme="majorBidi" w:hAnsiTheme="majorBidi" w:cstheme="majorBidi"/>
          <w:sz w:val="28"/>
          <w:szCs w:val="28"/>
        </w:rPr>
        <w:footnoteReference w:id="13"/>
      </w:r>
    </w:p>
    <w:sectPr w:rsidR="00365F23" w:rsidRPr="009C6CE8" w:rsidSect="00697364">
      <w:headerReference w:type="default" r:id="rId8"/>
      <w:footerReference w:type="default" r:id="rId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B2" w:rsidRDefault="003E7BB2" w:rsidP="0021230A">
      <w:pPr>
        <w:spacing w:after="0" w:line="240" w:lineRule="auto"/>
      </w:pPr>
      <w:r>
        <w:separator/>
      </w:r>
    </w:p>
  </w:endnote>
  <w:endnote w:type="continuationSeparator" w:id="1">
    <w:p w:rsidR="003E7BB2" w:rsidRDefault="003E7BB2" w:rsidP="00212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25716"/>
      <w:docPartObj>
        <w:docPartGallery w:val="Page Numbers (Bottom of Page)"/>
        <w:docPartUnique/>
      </w:docPartObj>
    </w:sdtPr>
    <w:sdtContent>
      <w:p w:rsidR="00F75F3A" w:rsidRDefault="002225CE">
        <w:pPr>
          <w:pStyle w:val="Pieddepage"/>
          <w:jc w:val="right"/>
        </w:pPr>
        <w:fldSimple w:instr=" PAGE   \* MERGEFORMAT ">
          <w:r w:rsidR="005A6C2E">
            <w:rPr>
              <w:noProof/>
            </w:rPr>
            <w:t>3</w:t>
          </w:r>
        </w:fldSimple>
      </w:p>
    </w:sdtContent>
  </w:sdt>
  <w:p w:rsidR="00F75F3A" w:rsidRDefault="00F75F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B2" w:rsidRDefault="003E7BB2" w:rsidP="0021230A">
      <w:pPr>
        <w:spacing w:after="0" w:line="240" w:lineRule="auto"/>
      </w:pPr>
      <w:r>
        <w:separator/>
      </w:r>
    </w:p>
  </w:footnote>
  <w:footnote w:type="continuationSeparator" w:id="1">
    <w:p w:rsidR="003E7BB2" w:rsidRDefault="003E7BB2" w:rsidP="0021230A">
      <w:pPr>
        <w:spacing w:after="0" w:line="240" w:lineRule="auto"/>
      </w:pPr>
      <w:r>
        <w:continuationSeparator/>
      </w:r>
    </w:p>
  </w:footnote>
  <w:footnote w:id="2">
    <w:p w:rsidR="00D92FEC" w:rsidRDefault="00D92FEC">
      <w:pPr>
        <w:pStyle w:val="Notedebasdepage"/>
      </w:pPr>
      <w:r>
        <w:rPr>
          <w:rStyle w:val="Appelnotedebasdep"/>
        </w:rPr>
        <w:footnoteRef/>
      </w:r>
      <w:r>
        <w:t xml:space="preserve"> Angers Maurice, </w:t>
      </w:r>
    </w:p>
  </w:footnote>
  <w:footnote w:id="3">
    <w:p w:rsidR="00D92FEC" w:rsidRDefault="00D92FEC">
      <w:pPr>
        <w:pStyle w:val="Notedebasdepage"/>
      </w:pPr>
      <w:r>
        <w:rPr>
          <w:rStyle w:val="Appelnotedebasdep"/>
        </w:rPr>
        <w:footnoteRef/>
      </w:r>
      <w:r>
        <w:t xml:space="preserve"> Grawitz Madeleine, </w:t>
      </w:r>
    </w:p>
  </w:footnote>
  <w:footnote w:id="4">
    <w:p w:rsidR="00D92FEC" w:rsidRDefault="00D92FEC">
      <w:pPr>
        <w:pStyle w:val="Notedebasdepage"/>
      </w:pPr>
      <w:r>
        <w:rPr>
          <w:rStyle w:val="Appelnotedebasdep"/>
        </w:rPr>
        <w:footnoteRef/>
      </w:r>
      <w:r>
        <w:t xml:space="preserve"> Angers Maurice, op.cit., p. </w:t>
      </w:r>
    </w:p>
  </w:footnote>
  <w:footnote w:id="5">
    <w:p w:rsidR="00D92FEC" w:rsidRDefault="00D92FEC">
      <w:pPr>
        <w:pStyle w:val="Notedebasdepage"/>
      </w:pPr>
      <w:r>
        <w:rPr>
          <w:rStyle w:val="Appelnotedebasdep"/>
        </w:rPr>
        <w:footnoteRef/>
      </w:r>
      <w:r>
        <w:t xml:space="preserve"> Angers Maurice, op.cit., p.</w:t>
      </w:r>
    </w:p>
  </w:footnote>
  <w:footnote w:id="6">
    <w:p w:rsidR="00D92FEC" w:rsidRDefault="00D92FEC">
      <w:pPr>
        <w:pStyle w:val="Notedebasdepage"/>
      </w:pPr>
      <w:r>
        <w:rPr>
          <w:rStyle w:val="Appelnotedebasdep"/>
        </w:rPr>
        <w:footnoteRef/>
      </w:r>
      <w:r>
        <w:t xml:space="preserve"> Angers Maurice, op.cit., p.</w:t>
      </w:r>
    </w:p>
  </w:footnote>
  <w:footnote w:id="7">
    <w:p w:rsidR="00D92FEC" w:rsidRPr="00D92FEC" w:rsidRDefault="00D92FEC" w:rsidP="00D92FEC">
      <w:pPr>
        <w:pStyle w:val="Notedebasdepage"/>
        <w:rPr>
          <w:lang w:val="en-US"/>
        </w:rPr>
      </w:pPr>
      <w:r>
        <w:rPr>
          <w:rStyle w:val="Appelnotedebasdep"/>
        </w:rPr>
        <w:footnoteRef/>
      </w:r>
      <w:r w:rsidRPr="00D92FEC">
        <w:rPr>
          <w:lang w:val="en-US"/>
        </w:rPr>
        <w:t xml:space="preserve"> Ibid., p.</w:t>
      </w:r>
    </w:p>
  </w:footnote>
  <w:footnote w:id="8">
    <w:p w:rsidR="00D92FEC" w:rsidRPr="00D92FEC" w:rsidRDefault="00D92FEC">
      <w:pPr>
        <w:pStyle w:val="Notedebasdepage"/>
        <w:rPr>
          <w:lang w:val="en-US"/>
        </w:rPr>
      </w:pPr>
      <w:r>
        <w:rPr>
          <w:rStyle w:val="Appelnotedebasdep"/>
        </w:rPr>
        <w:footnoteRef/>
      </w:r>
      <w:r w:rsidRPr="00D92FEC">
        <w:rPr>
          <w:lang w:val="en-US"/>
        </w:rPr>
        <w:t xml:space="preserve"> Ibid., p.</w:t>
      </w:r>
    </w:p>
  </w:footnote>
  <w:footnote w:id="9">
    <w:p w:rsidR="00D92FEC" w:rsidRPr="00D92FEC" w:rsidRDefault="00D92FEC">
      <w:pPr>
        <w:pStyle w:val="Notedebasdepage"/>
        <w:rPr>
          <w:lang w:val="en-US"/>
        </w:rPr>
      </w:pPr>
      <w:r>
        <w:rPr>
          <w:rStyle w:val="Appelnotedebasdep"/>
        </w:rPr>
        <w:footnoteRef/>
      </w:r>
      <w:r w:rsidRPr="00D92FEC">
        <w:rPr>
          <w:lang w:val="en-US"/>
        </w:rPr>
        <w:t xml:space="preserve"> Ibid., p.</w:t>
      </w:r>
    </w:p>
  </w:footnote>
  <w:footnote w:id="10">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1">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2">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3">
    <w:p w:rsidR="00D92FEC" w:rsidRDefault="00D92FEC">
      <w:pPr>
        <w:pStyle w:val="Notedebasdepage"/>
      </w:pPr>
      <w:r>
        <w:rPr>
          <w:rStyle w:val="Appelnotedebasdep"/>
        </w:rPr>
        <w:footnoteRef/>
      </w:r>
      <w:r>
        <w:t xml:space="preserve"> Ibid.,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0A" w:rsidRPr="0021230A" w:rsidRDefault="0021230A" w:rsidP="0021230A">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E58CA"/>
    <w:multiLevelType w:val="hybridMultilevel"/>
    <w:tmpl w:val="883E16AA"/>
    <w:lvl w:ilvl="0" w:tplc="F948F4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21230A"/>
    <w:rsid w:val="000A256F"/>
    <w:rsid w:val="000B1449"/>
    <w:rsid w:val="000B2234"/>
    <w:rsid w:val="000C51D2"/>
    <w:rsid w:val="000C696E"/>
    <w:rsid w:val="000F329C"/>
    <w:rsid w:val="00121BC8"/>
    <w:rsid w:val="0012757E"/>
    <w:rsid w:val="0021230A"/>
    <w:rsid w:val="002225CE"/>
    <w:rsid w:val="00365F23"/>
    <w:rsid w:val="00370CB6"/>
    <w:rsid w:val="003E7BB2"/>
    <w:rsid w:val="004149A1"/>
    <w:rsid w:val="00422B32"/>
    <w:rsid w:val="005A6C2E"/>
    <w:rsid w:val="00646171"/>
    <w:rsid w:val="00697364"/>
    <w:rsid w:val="007339CA"/>
    <w:rsid w:val="00787412"/>
    <w:rsid w:val="0085272C"/>
    <w:rsid w:val="009937B2"/>
    <w:rsid w:val="00997207"/>
    <w:rsid w:val="009C6CE8"/>
    <w:rsid w:val="00C3735E"/>
    <w:rsid w:val="00CA709B"/>
    <w:rsid w:val="00CC234D"/>
    <w:rsid w:val="00D92FEC"/>
    <w:rsid w:val="00E02778"/>
    <w:rsid w:val="00E367B2"/>
    <w:rsid w:val="00E41E63"/>
    <w:rsid w:val="00EC5D9C"/>
    <w:rsid w:val="00F24C4C"/>
    <w:rsid w:val="00F75F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230A"/>
    <w:pPr>
      <w:tabs>
        <w:tab w:val="center" w:pos="4536"/>
        <w:tab w:val="right" w:pos="9072"/>
      </w:tabs>
      <w:spacing w:after="0" w:line="240" w:lineRule="auto"/>
    </w:pPr>
  </w:style>
  <w:style w:type="character" w:customStyle="1" w:styleId="En-tteCar">
    <w:name w:val="En-tête Car"/>
    <w:basedOn w:val="Policepardfaut"/>
    <w:link w:val="En-tte"/>
    <w:uiPriority w:val="99"/>
    <w:rsid w:val="0021230A"/>
  </w:style>
  <w:style w:type="paragraph" w:styleId="Pieddepage">
    <w:name w:val="footer"/>
    <w:basedOn w:val="Normal"/>
    <w:link w:val="PieddepageCar"/>
    <w:uiPriority w:val="99"/>
    <w:unhideWhenUsed/>
    <w:rsid w:val="002123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30A"/>
  </w:style>
  <w:style w:type="paragraph" w:styleId="Paragraphedeliste">
    <w:name w:val="List Paragraph"/>
    <w:basedOn w:val="Normal"/>
    <w:uiPriority w:val="34"/>
    <w:qFormat/>
    <w:rsid w:val="0012757E"/>
    <w:pPr>
      <w:ind w:left="720"/>
      <w:contextualSpacing/>
    </w:pPr>
  </w:style>
  <w:style w:type="table" w:styleId="Grilledutableau">
    <w:name w:val="Table Grid"/>
    <w:basedOn w:val="TableauNormal"/>
    <w:uiPriority w:val="59"/>
    <w:rsid w:val="00993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92F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2FEC"/>
    <w:rPr>
      <w:sz w:val="20"/>
      <w:szCs w:val="20"/>
    </w:rPr>
  </w:style>
  <w:style w:type="character" w:styleId="Appelnotedebasdep">
    <w:name w:val="footnote reference"/>
    <w:basedOn w:val="Policepardfaut"/>
    <w:uiPriority w:val="99"/>
    <w:semiHidden/>
    <w:unhideWhenUsed/>
    <w:rsid w:val="00D92F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8103-6FBF-4F02-BBC0-FC75EAF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12</cp:revision>
  <dcterms:created xsi:type="dcterms:W3CDTF">2020-04-07T15:04:00Z</dcterms:created>
  <dcterms:modified xsi:type="dcterms:W3CDTF">2021-05-20T19:41:00Z</dcterms:modified>
</cp:coreProperties>
</file>