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58AB" w:rsidRPr="004F58AB" w:rsidRDefault="004F58AB" w:rsidP="004F58AB">
      <w:pPr>
        <w:widowControl w:val="0"/>
        <w:tabs>
          <w:tab w:val="left" w:pos="720"/>
        </w:tabs>
        <w:autoSpaceDE w:val="0"/>
        <w:autoSpaceDN w:val="0"/>
        <w:adjustRightInd w:val="0"/>
        <w:spacing w:before="100" w:beforeAutospacing="1" w:after="100" w:afterAutospacing="1" w:line="240" w:lineRule="auto"/>
        <w:jc w:val="both"/>
        <w:rPr>
          <w:rFonts w:ascii="Times New Roman" w:hAnsi="Times New Roman"/>
          <w:b/>
          <w:sz w:val="24"/>
          <w:szCs w:val="24"/>
        </w:rPr>
      </w:pPr>
      <w:r>
        <w:rPr>
          <w:rFonts w:ascii="Times New Roman" w:hAnsi="Times New Roman"/>
          <w:b/>
          <w:sz w:val="24"/>
          <w:szCs w:val="24"/>
        </w:rPr>
        <w:t>Préambule</w:t>
      </w:r>
    </w:p>
    <w:p w:rsidR="007C4DDB" w:rsidRDefault="007C4DDB" w:rsidP="004F58AB">
      <w:pPr>
        <w:widowControl w:val="0"/>
        <w:tabs>
          <w:tab w:val="left" w:pos="720"/>
        </w:tabs>
        <w:autoSpaceDE w:val="0"/>
        <w:autoSpaceDN w:val="0"/>
        <w:adjustRightInd w:val="0"/>
        <w:spacing w:before="100" w:beforeAutospacing="1" w:after="100" w:afterAutospacing="1" w:line="240" w:lineRule="auto"/>
        <w:jc w:val="both"/>
        <w:rPr>
          <w:rFonts w:ascii="Times New Roman" w:hAnsi="Times New Roman"/>
          <w:sz w:val="24"/>
          <w:szCs w:val="24"/>
        </w:rPr>
      </w:pPr>
      <w:r w:rsidRPr="00A44A2C">
        <w:rPr>
          <w:rFonts w:ascii="Times New Roman" w:hAnsi="Times New Roman"/>
          <w:sz w:val="24"/>
          <w:szCs w:val="24"/>
        </w:rPr>
        <w:tab/>
        <w:t>A travers l’histoire de l’enseignement des langues, nous constatons que pendant la période dominée par l’approche « grammaire-traduction », l’importance était accordée à l’écrit,  dans la quasi-ignorance de l'oral comme objet d'enseignement. Une certaine importance a commencé à lui être accordée, dans les années 60, avec la méthode audio-orale dont les bases théoriques reposent sur le structuralisme de Bloomfield et le béhaviorisme. Ce n’est que depuis quelques années que l’oral occupe le devant de la scène et est devenu le centre du processus d’apprentissage et ce, grâce aux nombreuses recherches réalisées dans ce domaine.</w:t>
      </w:r>
    </w:p>
    <w:p w:rsidR="006A1D42" w:rsidRDefault="006A1D42" w:rsidP="004F58AB">
      <w:pPr>
        <w:autoSpaceDE w:val="0"/>
        <w:autoSpaceDN w:val="0"/>
        <w:adjustRightInd w:val="0"/>
        <w:spacing w:before="100" w:beforeAutospacing="1" w:after="100" w:afterAutospacing="1" w:line="240" w:lineRule="auto"/>
        <w:ind w:firstLine="708"/>
        <w:jc w:val="both"/>
        <w:rPr>
          <w:rFonts w:ascii="Times New Roman" w:hAnsi="Times New Roman"/>
          <w:sz w:val="24"/>
          <w:szCs w:val="24"/>
        </w:rPr>
      </w:pPr>
      <w:r>
        <w:rPr>
          <w:rFonts w:ascii="Times New Roman" w:hAnsi="Times New Roman"/>
          <w:sz w:val="24"/>
          <w:szCs w:val="24"/>
        </w:rPr>
        <w:t>Pour l’enseignement de la compétence orale en classe de français, en l’occurrence en classe de français langue étrangère, nécessite une bonne planification stratégique</w:t>
      </w:r>
      <w:r w:rsidRPr="006A1D42">
        <w:rPr>
          <w:rFonts w:ascii="Times New Roman" w:hAnsi="Times New Roman"/>
          <w:sz w:val="24"/>
          <w:szCs w:val="24"/>
        </w:rPr>
        <w:t xml:space="preserve"> des habiletés en communication orale, </w:t>
      </w:r>
      <w:r>
        <w:rPr>
          <w:rFonts w:ascii="Times New Roman" w:hAnsi="Times New Roman"/>
          <w:sz w:val="24"/>
          <w:szCs w:val="24"/>
        </w:rPr>
        <w:t xml:space="preserve">qui va </w:t>
      </w:r>
      <w:r w:rsidRPr="006A1D42">
        <w:rPr>
          <w:rFonts w:ascii="Times New Roman" w:hAnsi="Times New Roman"/>
          <w:sz w:val="24"/>
          <w:szCs w:val="24"/>
        </w:rPr>
        <w:t>permet</w:t>
      </w:r>
      <w:r>
        <w:rPr>
          <w:rFonts w:ascii="Times New Roman" w:hAnsi="Times New Roman"/>
          <w:sz w:val="24"/>
          <w:szCs w:val="24"/>
        </w:rPr>
        <w:t>tre</w:t>
      </w:r>
      <w:r w:rsidRPr="006A1D42">
        <w:rPr>
          <w:rFonts w:ascii="Times New Roman" w:hAnsi="Times New Roman"/>
          <w:sz w:val="24"/>
          <w:szCs w:val="24"/>
        </w:rPr>
        <w:t xml:space="preserve"> aux enseignants de cibler les stratégies à enseigner et de planifier des activités visant à améliorer les co</w:t>
      </w:r>
      <w:r>
        <w:rPr>
          <w:rFonts w:ascii="Times New Roman" w:hAnsi="Times New Roman"/>
          <w:sz w:val="24"/>
          <w:szCs w:val="24"/>
        </w:rPr>
        <w:t>mpétences langagières des apprenants</w:t>
      </w:r>
      <w:r w:rsidRPr="006A1D42">
        <w:rPr>
          <w:rFonts w:ascii="Times New Roman" w:hAnsi="Times New Roman"/>
          <w:sz w:val="24"/>
          <w:szCs w:val="24"/>
        </w:rPr>
        <w:t>.</w:t>
      </w:r>
      <w:r>
        <w:rPr>
          <w:rFonts w:ascii="Times New Roman" w:hAnsi="Times New Roman"/>
          <w:sz w:val="24"/>
          <w:szCs w:val="24"/>
        </w:rPr>
        <w:t xml:space="preserve"> </w:t>
      </w:r>
    </w:p>
    <w:p w:rsidR="006A1D42" w:rsidRPr="006A1D42" w:rsidRDefault="006A1D42" w:rsidP="004F58AB">
      <w:pPr>
        <w:autoSpaceDE w:val="0"/>
        <w:autoSpaceDN w:val="0"/>
        <w:adjustRightInd w:val="0"/>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En réalité, il existe deux</w:t>
      </w:r>
      <w:r w:rsidRPr="006A1D42">
        <w:rPr>
          <w:rFonts w:ascii="Times New Roman" w:hAnsi="Times New Roman"/>
          <w:sz w:val="24"/>
          <w:szCs w:val="24"/>
        </w:rPr>
        <w:t xml:space="preserve"> grandes catégories de stratégies de communication orale : les stratégies d’écoute et les stratégies de prise de parole. Elles constituent le fondement d’une bonne communication orale. L’enseignement explicite d</w:t>
      </w:r>
      <w:r>
        <w:rPr>
          <w:rFonts w:ascii="Times New Roman" w:hAnsi="Times New Roman"/>
          <w:sz w:val="24"/>
          <w:szCs w:val="24"/>
        </w:rPr>
        <w:t>e c</w:t>
      </w:r>
      <w:r w:rsidRPr="006A1D42">
        <w:rPr>
          <w:rFonts w:ascii="Times New Roman" w:hAnsi="Times New Roman"/>
          <w:sz w:val="24"/>
          <w:szCs w:val="24"/>
        </w:rPr>
        <w:t>es stratégies aide les apprenants à devenir des auditeurs attentifs et des locuteurs efficaces, ce qui favorise le développement de leurs connaissances et leur compréhension de la langue.</w:t>
      </w:r>
    </w:p>
    <w:p w:rsidR="007C4DDB" w:rsidRPr="00A44A2C" w:rsidRDefault="007C4DDB" w:rsidP="004F58AB">
      <w:pPr>
        <w:pStyle w:val="Sous-titre"/>
        <w:numPr>
          <w:ilvl w:val="0"/>
          <w:numId w:val="1"/>
        </w:numPr>
        <w:spacing w:before="100" w:beforeAutospacing="1" w:after="100" w:afterAutospacing="1" w:line="240" w:lineRule="auto"/>
        <w:jc w:val="both"/>
        <w:rPr>
          <w:rFonts w:ascii="Times New Roman" w:hAnsi="Times New Roman"/>
          <w:b/>
        </w:rPr>
      </w:pPr>
      <w:r w:rsidRPr="00A44A2C">
        <w:rPr>
          <w:rFonts w:ascii="Times New Roman" w:hAnsi="Times New Roman"/>
          <w:b/>
        </w:rPr>
        <w:t>La compréhension orale</w:t>
      </w:r>
    </w:p>
    <w:p w:rsidR="007C4DDB" w:rsidRPr="00A44A2C" w:rsidRDefault="007C4DDB" w:rsidP="004F58AB">
      <w:pPr>
        <w:widowControl w:val="0"/>
        <w:tabs>
          <w:tab w:val="left" w:pos="720"/>
        </w:tabs>
        <w:autoSpaceDE w:val="0"/>
        <w:autoSpaceDN w:val="0"/>
        <w:adjustRightInd w:val="0"/>
        <w:spacing w:before="100" w:beforeAutospacing="1" w:after="100" w:afterAutospacing="1" w:line="240" w:lineRule="auto"/>
        <w:jc w:val="both"/>
        <w:rPr>
          <w:rFonts w:ascii="Times New Roman" w:hAnsi="Times New Roman"/>
          <w:sz w:val="24"/>
          <w:szCs w:val="24"/>
        </w:rPr>
      </w:pPr>
      <w:r w:rsidRPr="00A44A2C">
        <w:rPr>
          <w:rFonts w:ascii="Times New Roman" w:hAnsi="Times New Roman"/>
          <w:sz w:val="24"/>
          <w:szCs w:val="24"/>
        </w:rPr>
        <w:tab/>
        <w:t xml:space="preserve">Depuis l’avènement de l’approche communicative, l’objectif de l’enseignement de la compréhension orale ne se limite plus à faire bien entendre aux apprenants les sons de la langue étrangère ou bien à comprendre ses mots et ses phrases, mais il vise plutôt à développer chez lui une compétence de compréhension de son interlocuteur pour une communication efficace.   </w:t>
      </w:r>
    </w:p>
    <w:p w:rsidR="007C4DDB" w:rsidRPr="00A44A2C" w:rsidRDefault="007C4DDB" w:rsidP="004F58AB">
      <w:pPr>
        <w:widowControl w:val="0"/>
        <w:tabs>
          <w:tab w:val="left" w:pos="720"/>
        </w:tabs>
        <w:autoSpaceDE w:val="0"/>
        <w:autoSpaceDN w:val="0"/>
        <w:adjustRightInd w:val="0"/>
        <w:spacing w:before="100" w:beforeAutospacing="1" w:after="100" w:afterAutospacing="1" w:line="240" w:lineRule="auto"/>
        <w:jc w:val="both"/>
        <w:rPr>
          <w:rFonts w:ascii="Times New Roman" w:hAnsi="Times New Roman"/>
          <w:sz w:val="24"/>
          <w:szCs w:val="24"/>
        </w:rPr>
      </w:pPr>
      <w:r w:rsidRPr="00A44A2C">
        <w:rPr>
          <w:rFonts w:ascii="Times New Roman" w:hAnsi="Times New Roman"/>
          <w:sz w:val="24"/>
          <w:szCs w:val="24"/>
        </w:rPr>
        <w:t xml:space="preserve">Ainsi, comprendre, à l’oral, n’est pas une simple activité de réception, il faut décoder le sens d’une phrase ou d’un discours et identifier leurs fonctions communicatives. En d’autres termes, la compréhension orale n’est pas un processus de réception passive des informations, mais un processus actif de sélection, d’encodage et de stockage de ces informations. </w:t>
      </w:r>
    </w:p>
    <w:p w:rsidR="007C4DDB" w:rsidRPr="00A44A2C" w:rsidRDefault="007C4DDB" w:rsidP="004F58AB">
      <w:pPr>
        <w:widowControl w:val="0"/>
        <w:tabs>
          <w:tab w:val="left" w:pos="720"/>
        </w:tabs>
        <w:autoSpaceDE w:val="0"/>
        <w:autoSpaceDN w:val="0"/>
        <w:adjustRightInd w:val="0"/>
        <w:spacing w:before="100" w:beforeAutospacing="1" w:after="100" w:afterAutospacing="1" w:line="240" w:lineRule="auto"/>
        <w:jc w:val="both"/>
        <w:rPr>
          <w:rFonts w:ascii="Times New Roman" w:hAnsi="Times New Roman"/>
          <w:sz w:val="24"/>
          <w:szCs w:val="24"/>
        </w:rPr>
      </w:pPr>
      <w:r w:rsidRPr="00A44A2C">
        <w:rPr>
          <w:rFonts w:ascii="Times New Roman" w:hAnsi="Times New Roman"/>
          <w:sz w:val="24"/>
          <w:szCs w:val="24"/>
        </w:rPr>
        <w:tab/>
        <w:t>La compréhension orale est alors la première compétence à développer quand on apprend une langue en général et une langue étrangère en particulier. Puisqu'on apprend à parler avant d'apprendre à écrire, la compréhension orale précède aussi la production orale, parce que pour apprendre à parler, les apprenants doivent développer leurs capacités d’écoute.</w:t>
      </w:r>
    </w:p>
    <w:p w:rsidR="007C4DDB" w:rsidRPr="00A44A2C" w:rsidRDefault="007C4DDB" w:rsidP="004F58AB">
      <w:pPr>
        <w:pStyle w:val="Default"/>
        <w:spacing w:before="100" w:beforeAutospacing="1" w:after="100" w:afterAutospacing="1"/>
        <w:jc w:val="both"/>
        <w:rPr>
          <w:rFonts w:ascii="Times New Roman" w:hAnsi="Times New Roman" w:cs="Times New Roman"/>
          <w:color w:val="auto"/>
        </w:rPr>
      </w:pPr>
      <w:r w:rsidRPr="00A44A2C">
        <w:rPr>
          <w:rFonts w:ascii="Times New Roman" w:hAnsi="Times New Roman" w:cs="Times New Roman"/>
          <w:color w:val="auto"/>
        </w:rPr>
        <w:t>Carette (2001 : 128-132) regroupe les objectifs d’écoute en quatre types :</w:t>
      </w:r>
    </w:p>
    <w:p w:rsidR="007C4DDB" w:rsidRPr="00A44A2C" w:rsidRDefault="007C4DDB" w:rsidP="004F58AB">
      <w:pPr>
        <w:numPr>
          <w:ilvl w:val="0"/>
          <w:numId w:val="2"/>
        </w:numPr>
        <w:autoSpaceDE w:val="0"/>
        <w:autoSpaceDN w:val="0"/>
        <w:adjustRightInd w:val="0"/>
        <w:spacing w:before="100" w:beforeAutospacing="1" w:after="100" w:afterAutospacing="1" w:line="240" w:lineRule="auto"/>
        <w:jc w:val="both"/>
        <w:rPr>
          <w:rFonts w:ascii="Times New Roman" w:hAnsi="Times New Roman"/>
          <w:sz w:val="24"/>
          <w:szCs w:val="24"/>
        </w:rPr>
      </w:pPr>
      <w:r w:rsidRPr="00A44A2C">
        <w:rPr>
          <w:rFonts w:ascii="Times New Roman" w:hAnsi="Times New Roman"/>
          <w:sz w:val="24"/>
          <w:szCs w:val="24"/>
        </w:rPr>
        <w:t>Ecouter pour apprendre (rendre compte, pour analyser,…),</w:t>
      </w:r>
    </w:p>
    <w:p w:rsidR="007C4DDB" w:rsidRPr="00A44A2C" w:rsidRDefault="007C4DDB" w:rsidP="004F58AB">
      <w:pPr>
        <w:numPr>
          <w:ilvl w:val="0"/>
          <w:numId w:val="2"/>
        </w:numPr>
        <w:autoSpaceDE w:val="0"/>
        <w:autoSpaceDN w:val="0"/>
        <w:adjustRightInd w:val="0"/>
        <w:spacing w:before="100" w:beforeAutospacing="1" w:after="100" w:afterAutospacing="1" w:line="240" w:lineRule="auto"/>
        <w:jc w:val="both"/>
        <w:rPr>
          <w:rFonts w:ascii="Times New Roman" w:hAnsi="Times New Roman"/>
          <w:sz w:val="24"/>
          <w:szCs w:val="24"/>
        </w:rPr>
      </w:pPr>
      <w:r w:rsidRPr="00A44A2C">
        <w:rPr>
          <w:rFonts w:ascii="Times New Roman" w:hAnsi="Times New Roman"/>
          <w:sz w:val="24"/>
          <w:szCs w:val="24"/>
        </w:rPr>
        <w:t>Ecouter pour s’informer (comprendre les idées, les événements et les faits,…),</w:t>
      </w:r>
    </w:p>
    <w:p w:rsidR="007C4DDB" w:rsidRPr="00A44A2C" w:rsidRDefault="007C4DDB" w:rsidP="004F58AB">
      <w:pPr>
        <w:numPr>
          <w:ilvl w:val="0"/>
          <w:numId w:val="2"/>
        </w:numPr>
        <w:autoSpaceDE w:val="0"/>
        <w:autoSpaceDN w:val="0"/>
        <w:adjustRightInd w:val="0"/>
        <w:spacing w:before="100" w:beforeAutospacing="1" w:after="100" w:afterAutospacing="1" w:line="240" w:lineRule="auto"/>
        <w:jc w:val="both"/>
        <w:rPr>
          <w:rFonts w:ascii="Times New Roman" w:hAnsi="Times New Roman"/>
          <w:sz w:val="24"/>
          <w:szCs w:val="24"/>
        </w:rPr>
      </w:pPr>
      <w:r w:rsidRPr="00A44A2C">
        <w:rPr>
          <w:rFonts w:ascii="Times New Roman" w:hAnsi="Times New Roman"/>
          <w:sz w:val="24"/>
          <w:szCs w:val="24"/>
        </w:rPr>
        <w:t xml:space="preserve">Ecouter pour agir (prendre des notes, faire fonctionner un appareil,…), </w:t>
      </w:r>
    </w:p>
    <w:p w:rsidR="007C4DDB" w:rsidRPr="00A44A2C" w:rsidRDefault="007C4DDB" w:rsidP="004F58AB">
      <w:pPr>
        <w:numPr>
          <w:ilvl w:val="0"/>
          <w:numId w:val="2"/>
        </w:numPr>
        <w:autoSpaceDE w:val="0"/>
        <w:autoSpaceDN w:val="0"/>
        <w:adjustRightInd w:val="0"/>
        <w:spacing w:before="100" w:beforeAutospacing="1" w:after="100" w:afterAutospacing="1" w:line="240" w:lineRule="auto"/>
        <w:jc w:val="both"/>
        <w:rPr>
          <w:rFonts w:ascii="Times New Roman" w:hAnsi="Times New Roman"/>
          <w:sz w:val="24"/>
          <w:szCs w:val="24"/>
        </w:rPr>
      </w:pPr>
      <w:r w:rsidRPr="00A44A2C">
        <w:rPr>
          <w:rFonts w:ascii="Times New Roman" w:hAnsi="Times New Roman"/>
          <w:sz w:val="24"/>
          <w:szCs w:val="24"/>
        </w:rPr>
        <w:t xml:space="preserve">Ecouter pour se distraire (jouer, rire, imaginer, éprouver des émotions,…). </w:t>
      </w:r>
    </w:p>
    <w:p w:rsidR="007C4DDB" w:rsidRPr="00A44A2C" w:rsidRDefault="007C4DDB" w:rsidP="004F58AB">
      <w:pPr>
        <w:spacing w:before="100" w:beforeAutospacing="1" w:after="100" w:afterAutospacing="1" w:line="240" w:lineRule="auto"/>
        <w:ind w:firstLine="708"/>
        <w:jc w:val="both"/>
        <w:rPr>
          <w:rFonts w:ascii="Times New Roman" w:hAnsi="Times New Roman"/>
          <w:sz w:val="24"/>
          <w:szCs w:val="24"/>
        </w:rPr>
      </w:pPr>
      <w:r w:rsidRPr="00A44A2C">
        <w:rPr>
          <w:rFonts w:ascii="Times New Roman" w:hAnsi="Times New Roman"/>
          <w:sz w:val="24"/>
          <w:szCs w:val="24"/>
        </w:rPr>
        <w:t>Les stratégies d’apprentissage d’écoute mises en place les écoutes de ces types sont les suivantes :</w:t>
      </w:r>
    </w:p>
    <w:p w:rsidR="007C4DDB" w:rsidRPr="00A44A2C" w:rsidRDefault="007C4DDB" w:rsidP="004F58AB">
      <w:pPr>
        <w:spacing w:before="100" w:beforeAutospacing="1" w:after="100" w:afterAutospacing="1" w:line="240" w:lineRule="auto"/>
        <w:ind w:firstLine="708"/>
        <w:jc w:val="both"/>
        <w:rPr>
          <w:rFonts w:ascii="Times New Roman" w:hAnsi="Times New Roman"/>
          <w:sz w:val="24"/>
          <w:szCs w:val="24"/>
        </w:rPr>
      </w:pPr>
      <w:r w:rsidRPr="00A44A2C">
        <w:rPr>
          <w:rFonts w:ascii="Times New Roman" w:hAnsi="Times New Roman"/>
          <w:sz w:val="24"/>
          <w:szCs w:val="24"/>
        </w:rPr>
        <w:t>Dans la phase de pré-écoute, l’apprenant mobilise les stratégies métacognitives pour planifier son écoute.</w:t>
      </w:r>
    </w:p>
    <w:p w:rsidR="007C4DDB" w:rsidRPr="00A44A2C" w:rsidRDefault="007C4DDB" w:rsidP="004F58AB">
      <w:pPr>
        <w:spacing w:before="100" w:beforeAutospacing="1" w:after="100" w:afterAutospacing="1" w:line="240" w:lineRule="auto"/>
        <w:jc w:val="both"/>
        <w:rPr>
          <w:rFonts w:ascii="Times New Roman" w:hAnsi="Times New Roman"/>
          <w:sz w:val="24"/>
          <w:szCs w:val="24"/>
        </w:rPr>
      </w:pPr>
      <w:r w:rsidRPr="00A44A2C">
        <w:rPr>
          <w:rFonts w:ascii="Times New Roman" w:hAnsi="Times New Roman"/>
          <w:sz w:val="24"/>
          <w:szCs w:val="24"/>
        </w:rPr>
        <w:t xml:space="preserve">Durant la phase de l’écoute, l’apprenant met en œuvre des stratégies cognitives et socio-affectives  pour gérer sa compréhension. </w:t>
      </w:r>
    </w:p>
    <w:p w:rsidR="007C4DDB" w:rsidRPr="00A44A2C" w:rsidRDefault="007C4DDB" w:rsidP="004F58AB">
      <w:pPr>
        <w:spacing w:before="100" w:beforeAutospacing="1" w:after="100" w:afterAutospacing="1" w:line="240" w:lineRule="auto"/>
        <w:jc w:val="both"/>
        <w:rPr>
          <w:rFonts w:ascii="Times New Roman" w:hAnsi="Times New Roman"/>
          <w:sz w:val="24"/>
          <w:szCs w:val="24"/>
        </w:rPr>
      </w:pPr>
      <w:r w:rsidRPr="00A44A2C">
        <w:rPr>
          <w:rFonts w:ascii="Times New Roman" w:hAnsi="Times New Roman"/>
          <w:sz w:val="24"/>
          <w:szCs w:val="24"/>
        </w:rPr>
        <w:t>Pour la post-écoute, l’apprenant met en œuvre des stratégies cognitives pour traiter les informations et les stratégies métacognitives pour s’auto-évaluer.</w:t>
      </w:r>
    </w:p>
    <w:p w:rsidR="007C4DDB" w:rsidRPr="00A44A2C" w:rsidRDefault="007C4DDB" w:rsidP="004F58AB">
      <w:pPr>
        <w:pStyle w:val="Paragraphedeliste"/>
        <w:numPr>
          <w:ilvl w:val="0"/>
          <w:numId w:val="1"/>
        </w:numPr>
        <w:spacing w:before="100" w:beforeAutospacing="1" w:after="100" w:afterAutospacing="1" w:line="240" w:lineRule="auto"/>
        <w:jc w:val="both"/>
        <w:rPr>
          <w:rFonts w:ascii="Times New Roman" w:hAnsi="Times New Roman"/>
          <w:sz w:val="24"/>
          <w:szCs w:val="24"/>
        </w:rPr>
      </w:pPr>
      <w:r w:rsidRPr="00A44A2C">
        <w:rPr>
          <w:rFonts w:ascii="Times New Roman" w:hAnsi="Times New Roman"/>
          <w:b/>
          <w:sz w:val="24"/>
          <w:szCs w:val="24"/>
        </w:rPr>
        <w:t>L’expression orale</w:t>
      </w:r>
    </w:p>
    <w:p w:rsidR="007C4DDB" w:rsidRPr="00A44A2C" w:rsidRDefault="0019644B" w:rsidP="004F58AB">
      <w:pPr>
        <w:tabs>
          <w:tab w:val="left" w:pos="900"/>
          <w:tab w:val="left" w:pos="1080"/>
          <w:tab w:val="left" w:pos="1260"/>
          <w:tab w:val="left" w:pos="1440"/>
          <w:tab w:val="left" w:pos="1620"/>
          <w:tab w:val="left" w:pos="2340"/>
        </w:tabs>
        <w:spacing w:before="100" w:beforeAutospacing="1" w:after="100" w:afterAutospacing="1" w:line="240" w:lineRule="auto"/>
        <w:jc w:val="both"/>
        <w:rPr>
          <w:rFonts w:ascii="Times New Roman" w:hAnsi="Times New Roman"/>
          <w:bCs/>
          <w:sz w:val="24"/>
          <w:szCs w:val="24"/>
        </w:rPr>
      </w:pPr>
      <w:r>
        <w:rPr>
          <w:rFonts w:ascii="Times New Roman" w:hAnsi="Times New Roman"/>
          <w:bCs/>
          <w:sz w:val="24"/>
          <w:szCs w:val="24"/>
        </w:rPr>
        <w:tab/>
      </w:r>
      <w:r w:rsidR="007C4DDB" w:rsidRPr="00A44A2C">
        <w:rPr>
          <w:rFonts w:ascii="Times New Roman" w:hAnsi="Times New Roman"/>
          <w:bCs/>
          <w:sz w:val="24"/>
          <w:szCs w:val="24"/>
        </w:rPr>
        <w:t>L’expression est la deuxième composante de l’oral, elle se produit nécessairement au sein d’une situation de communication, elle implique deux formes d’expression orale : verbale et non verbale. Ces deux formes constituent le matériau de la communication.</w:t>
      </w:r>
    </w:p>
    <w:p w:rsidR="007C4DDB" w:rsidRPr="00A44A2C" w:rsidRDefault="007C4DDB" w:rsidP="004F58AB">
      <w:pPr>
        <w:tabs>
          <w:tab w:val="left" w:pos="900"/>
          <w:tab w:val="left" w:pos="1080"/>
          <w:tab w:val="left" w:pos="1260"/>
          <w:tab w:val="left" w:pos="1440"/>
          <w:tab w:val="left" w:pos="1620"/>
          <w:tab w:val="left" w:pos="2340"/>
        </w:tabs>
        <w:spacing w:before="100" w:beforeAutospacing="1" w:after="100" w:afterAutospacing="1" w:line="240" w:lineRule="auto"/>
        <w:jc w:val="both"/>
        <w:rPr>
          <w:rFonts w:ascii="Times New Roman" w:hAnsi="Times New Roman"/>
          <w:bCs/>
          <w:sz w:val="24"/>
          <w:szCs w:val="24"/>
        </w:rPr>
      </w:pPr>
      <w:r w:rsidRPr="00A44A2C">
        <w:rPr>
          <w:rFonts w:ascii="Times New Roman" w:hAnsi="Times New Roman"/>
          <w:sz w:val="24"/>
          <w:szCs w:val="24"/>
        </w:rPr>
        <w:t>Dans la conversation, où locuteur et interlocuteur sont co-présents</w:t>
      </w:r>
      <w:r w:rsidRPr="00A44A2C">
        <w:rPr>
          <w:rFonts w:ascii="Times New Roman" w:hAnsi="Times New Roman"/>
          <w:bCs/>
          <w:sz w:val="24"/>
          <w:szCs w:val="24"/>
        </w:rPr>
        <w:t>, la communication n’est pas seulement verbale, elle est faite aussi de silences et d’intonation, de gestes, de mouvements de mains, de mouvements de tête, de mimiques, de postures, etc. Ces signes de nature variée sont exploités par les conversations pour s’édifier différents systèmes sémiotiques.</w:t>
      </w:r>
    </w:p>
    <w:p w:rsidR="007C4DDB" w:rsidRPr="00A44A2C" w:rsidRDefault="007C4DDB" w:rsidP="004F58AB">
      <w:pPr>
        <w:tabs>
          <w:tab w:val="left" w:pos="0"/>
          <w:tab w:val="left" w:pos="900"/>
          <w:tab w:val="left" w:pos="1080"/>
          <w:tab w:val="left" w:pos="1260"/>
          <w:tab w:val="left" w:pos="1440"/>
        </w:tabs>
        <w:spacing w:before="100" w:beforeAutospacing="1" w:after="100" w:afterAutospacing="1" w:line="240" w:lineRule="auto"/>
        <w:jc w:val="both"/>
        <w:rPr>
          <w:rFonts w:ascii="Times New Roman" w:hAnsi="Times New Roman"/>
          <w:bCs/>
          <w:sz w:val="24"/>
          <w:szCs w:val="24"/>
        </w:rPr>
      </w:pPr>
      <w:r w:rsidRPr="00A44A2C">
        <w:rPr>
          <w:rFonts w:ascii="Times New Roman" w:hAnsi="Times New Roman"/>
          <w:bCs/>
          <w:sz w:val="24"/>
          <w:szCs w:val="24"/>
        </w:rPr>
        <w:t xml:space="preserve">Au moment de parler, plusieurs matériaux s’entremêlent : le verbal, </w:t>
      </w:r>
      <w:r w:rsidR="00A44A2C" w:rsidRPr="00A44A2C">
        <w:rPr>
          <w:rFonts w:ascii="Times New Roman" w:hAnsi="Times New Roman"/>
          <w:bCs/>
          <w:sz w:val="24"/>
          <w:szCs w:val="24"/>
        </w:rPr>
        <w:t>le para verbal et le non verbal</w:t>
      </w:r>
      <w:r w:rsidRPr="00A44A2C">
        <w:rPr>
          <w:rFonts w:ascii="Times New Roman" w:hAnsi="Times New Roman"/>
          <w:bCs/>
          <w:sz w:val="24"/>
          <w:szCs w:val="24"/>
        </w:rPr>
        <w:t xml:space="preserve">: </w:t>
      </w:r>
    </w:p>
    <w:p w:rsidR="007C4DDB" w:rsidRPr="00A44A2C" w:rsidRDefault="007C4DDB" w:rsidP="004F58AB">
      <w:pPr>
        <w:numPr>
          <w:ilvl w:val="0"/>
          <w:numId w:val="3"/>
        </w:numPr>
        <w:tabs>
          <w:tab w:val="left" w:pos="900"/>
          <w:tab w:val="left" w:pos="1080"/>
          <w:tab w:val="left" w:pos="1260"/>
          <w:tab w:val="left" w:pos="1440"/>
          <w:tab w:val="left" w:pos="1620"/>
        </w:tabs>
        <w:spacing w:before="100" w:beforeAutospacing="1" w:after="100" w:afterAutospacing="1" w:line="240" w:lineRule="auto"/>
        <w:jc w:val="both"/>
        <w:rPr>
          <w:rFonts w:ascii="Times New Roman" w:hAnsi="Times New Roman"/>
          <w:bCs/>
          <w:sz w:val="24"/>
          <w:szCs w:val="24"/>
        </w:rPr>
      </w:pPr>
      <w:r w:rsidRPr="00A44A2C">
        <w:rPr>
          <w:rFonts w:ascii="Times New Roman" w:hAnsi="Times New Roman"/>
          <w:sz w:val="24"/>
          <w:szCs w:val="24"/>
        </w:rPr>
        <w:t>Le</w:t>
      </w:r>
      <w:r w:rsidRPr="00A44A2C">
        <w:rPr>
          <w:rFonts w:ascii="Times New Roman" w:hAnsi="Times New Roman"/>
          <w:b/>
          <w:sz w:val="24"/>
          <w:szCs w:val="24"/>
        </w:rPr>
        <w:t xml:space="preserve"> </w:t>
      </w:r>
      <w:r w:rsidRPr="00A44A2C">
        <w:rPr>
          <w:rFonts w:ascii="Times New Roman" w:hAnsi="Times New Roman"/>
          <w:sz w:val="24"/>
          <w:szCs w:val="24"/>
        </w:rPr>
        <w:t>matériel</w:t>
      </w:r>
      <w:r w:rsidRPr="00A44A2C">
        <w:rPr>
          <w:rFonts w:ascii="Times New Roman" w:hAnsi="Times New Roman"/>
          <w:b/>
          <w:sz w:val="24"/>
          <w:szCs w:val="24"/>
        </w:rPr>
        <w:t xml:space="preserve"> </w:t>
      </w:r>
      <w:r w:rsidRPr="00A44A2C">
        <w:rPr>
          <w:rFonts w:ascii="Times New Roman" w:hAnsi="Times New Roman"/>
          <w:sz w:val="24"/>
          <w:szCs w:val="24"/>
        </w:rPr>
        <w:t>verbal</w:t>
      </w:r>
      <w:r w:rsidRPr="00A44A2C">
        <w:rPr>
          <w:rFonts w:ascii="Times New Roman" w:hAnsi="Times New Roman"/>
          <w:bCs/>
          <w:sz w:val="24"/>
          <w:szCs w:val="24"/>
        </w:rPr>
        <w:t> : Il renvoie à l’ensemble des unités de la langue:</w:t>
      </w:r>
      <w:r w:rsidR="0019644B">
        <w:rPr>
          <w:rFonts w:ascii="Times New Roman" w:hAnsi="Times New Roman"/>
          <w:bCs/>
          <w:sz w:val="24"/>
          <w:szCs w:val="24"/>
        </w:rPr>
        <w:t xml:space="preserve">  phonologique, lexicale ou morphosyntaxique</w:t>
      </w:r>
      <w:r w:rsidRPr="00A44A2C">
        <w:rPr>
          <w:rFonts w:ascii="Times New Roman" w:hAnsi="Times New Roman"/>
          <w:bCs/>
          <w:sz w:val="24"/>
          <w:szCs w:val="24"/>
        </w:rPr>
        <w:t>,</w:t>
      </w:r>
    </w:p>
    <w:p w:rsidR="007C4DDB" w:rsidRPr="00A44A2C" w:rsidRDefault="007C4DDB" w:rsidP="004F58AB">
      <w:pPr>
        <w:numPr>
          <w:ilvl w:val="0"/>
          <w:numId w:val="3"/>
        </w:numPr>
        <w:tabs>
          <w:tab w:val="left" w:pos="900"/>
          <w:tab w:val="left" w:pos="1080"/>
          <w:tab w:val="left" w:pos="1260"/>
          <w:tab w:val="left" w:pos="1440"/>
          <w:tab w:val="left" w:pos="1620"/>
        </w:tabs>
        <w:spacing w:before="100" w:beforeAutospacing="1" w:after="100" w:afterAutospacing="1" w:line="240" w:lineRule="auto"/>
        <w:jc w:val="both"/>
        <w:rPr>
          <w:rFonts w:ascii="Times New Roman" w:hAnsi="Times New Roman"/>
          <w:bCs/>
          <w:sz w:val="24"/>
          <w:szCs w:val="24"/>
        </w:rPr>
      </w:pPr>
      <w:r w:rsidRPr="00A44A2C">
        <w:rPr>
          <w:rFonts w:ascii="Times New Roman" w:hAnsi="Times New Roman"/>
          <w:sz w:val="24"/>
          <w:szCs w:val="24"/>
        </w:rPr>
        <w:t>Le</w:t>
      </w:r>
      <w:r w:rsidRPr="00A44A2C">
        <w:rPr>
          <w:rFonts w:ascii="Times New Roman" w:hAnsi="Times New Roman"/>
          <w:b/>
          <w:sz w:val="24"/>
          <w:szCs w:val="24"/>
        </w:rPr>
        <w:t xml:space="preserve"> </w:t>
      </w:r>
      <w:r w:rsidRPr="00A44A2C">
        <w:rPr>
          <w:rFonts w:ascii="Times New Roman" w:hAnsi="Times New Roman"/>
          <w:sz w:val="24"/>
          <w:szCs w:val="24"/>
        </w:rPr>
        <w:t>matériel</w:t>
      </w:r>
      <w:r w:rsidRPr="00A44A2C">
        <w:rPr>
          <w:rFonts w:ascii="Times New Roman" w:hAnsi="Times New Roman"/>
          <w:b/>
          <w:sz w:val="24"/>
          <w:szCs w:val="24"/>
        </w:rPr>
        <w:t xml:space="preserve"> </w:t>
      </w:r>
      <w:r w:rsidRPr="00A44A2C">
        <w:rPr>
          <w:rFonts w:ascii="Times New Roman" w:hAnsi="Times New Roman"/>
          <w:sz w:val="24"/>
          <w:szCs w:val="24"/>
        </w:rPr>
        <w:t>para verbal (le matériel prosodique et vocal)</w:t>
      </w:r>
      <w:r w:rsidRPr="00A44A2C">
        <w:rPr>
          <w:rFonts w:ascii="Times New Roman" w:hAnsi="Times New Roman"/>
          <w:bCs/>
          <w:sz w:val="24"/>
          <w:szCs w:val="24"/>
        </w:rPr>
        <w:t> : il s’agit là de toutes les unités qui accompagnent les unités linguistiques et qui sont transmises par le canal auditif : intonation, pauses, particularités de la prononciation, caractéristiques de la voix, etc.</w:t>
      </w:r>
    </w:p>
    <w:p w:rsidR="007C4DDB" w:rsidRPr="00A44A2C" w:rsidRDefault="007C4DDB" w:rsidP="004F58AB">
      <w:pPr>
        <w:numPr>
          <w:ilvl w:val="0"/>
          <w:numId w:val="3"/>
        </w:numPr>
        <w:spacing w:before="100" w:beforeAutospacing="1" w:after="100" w:afterAutospacing="1" w:line="240" w:lineRule="auto"/>
        <w:jc w:val="both"/>
        <w:rPr>
          <w:rFonts w:ascii="Times New Roman" w:hAnsi="Times New Roman"/>
          <w:bCs/>
          <w:sz w:val="24"/>
          <w:szCs w:val="24"/>
        </w:rPr>
      </w:pPr>
      <w:r w:rsidRPr="00A44A2C">
        <w:rPr>
          <w:rFonts w:ascii="Times New Roman" w:hAnsi="Times New Roman"/>
          <w:sz w:val="24"/>
          <w:szCs w:val="24"/>
        </w:rPr>
        <w:t>Le matériel non verbal</w:t>
      </w:r>
      <w:r w:rsidRPr="00A44A2C">
        <w:rPr>
          <w:rFonts w:ascii="Times New Roman" w:hAnsi="Times New Roman"/>
          <w:bCs/>
          <w:sz w:val="24"/>
          <w:szCs w:val="24"/>
        </w:rPr>
        <w:t> : il est transmis par le canal visuel.</w:t>
      </w:r>
    </w:p>
    <w:p w:rsidR="007C4DDB" w:rsidRPr="00A44A2C" w:rsidRDefault="007C4DDB" w:rsidP="004F58AB">
      <w:pPr>
        <w:tabs>
          <w:tab w:val="left" w:pos="900"/>
          <w:tab w:val="left" w:pos="1080"/>
          <w:tab w:val="left" w:pos="1260"/>
          <w:tab w:val="left" w:pos="1440"/>
          <w:tab w:val="left" w:pos="1620"/>
          <w:tab w:val="left" w:pos="2340"/>
        </w:tabs>
        <w:spacing w:before="100" w:beforeAutospacing="1" w:after="100" w:afterAutospacing="1" w:line="240" w:lineRule="auto"/>
        <w:ind w:firstLine="540"/>
        <w:jc w:val="both"/>
        <w:rPr>
          <w:rFonts w:ascii="Times New Roman" w:hAnsi="Times New Roman"/>
          <w:bCs/>
          <w:sz w:val="24"/>
          <w:szCs w:val="24"/>
        </w:rPr>
      </w:pPr>
      <w:r w:rsidRPr="00A44A2C">
        <w:rPr>
          <w:rFonts w:ascii="Times New Roman" w:hAnsi="Times New Roman"/>
          <w:bCs/>
          <w:sz w:val="24"/>
          <w:szCs w:val="24"/>
        </w:rPr>
        <w:t>Plusieurs activités sont proposées par la didactique de l’oral pour amener l’apprenant à être</w:t>
      </w:r>
      <w:r w:rsidR="0019644B">
        <w:rPr>
          <w:rFonts w:ascii="Times New Roman" w:hAnsi="Times New Roman"/>
          <w:bCs/>
          <w:sz w:val="24"/>
          <w:szCs w:val="24"/>
        </w:rPr>
        <w:t xml:space="preserve"> capable</w:t>
      </w:r>
      <w:r w:rsidRPr="00A44A2C">
        <w:rPr>
          <w:rFonts w:ascii="Times New Roman" w:hAnsi="Times New Roman"/>
          <w:bCs/>
          <w:sz w:val="24"/>
          <w:szCs w:val="24"/>
        </w:rPr>
        <w:t xml:space="preserve"> prendre la parole en classe, pour donner son avis, s’adapter au rythme, à l’intonation et à la prononciation de la langue, aux modalités différentes du dire comme  décrire, raconter, justifier, convaincre, etc. </w:t>
      </w:r>
    </w:p>
    <w:p w:rsidR="007C4DDB" w:rsidRPr="00A44A2C" w:rsidRDefault="008E6262" w:rsidP="004F58AB">
      <w:pPr>
        <w:tabs>
          <w:tab w:val="left" w:pos="900"/>
          <w:tab w:val="left" w:pos="1080"/>
          <w:tab w:val="left" w:pos="1260"/>
          <w:tab w:val="left" w:pos="1440"/>
          <w:tab w:val="left" w:pos="1620"/>
          <w:tab w:val="left" w:pos="2340"/>
        </w:tabs>
        <w:spacing w:before="100" w:beforeAutospacing="1" w:after="100" w:afterAutospacing="1" w:line="240" w:lineRule="auto"/>
        <w:jc w:val="both"/>
        <w:rPr>
          <w:rFonts w:ascii="Times New Roman" w:hAnsi="Times New Roman"/>
          <w:bCs/>
          <w:sz w:val="24"/>
          <w:szCs w:val="24"/>
        </w:rPr>
      </w:pPr>
      <w:r w:rsidRPr="00A44A2C">
        <w:rPr>
          <w:rFonts w:ascii="Times New Roman" w:hAnsi="Times New Roman"/>
          <w:bCs/>
          <w:sz w:val="24"/>
          <w:szCs w:val="24"/>
        </w:rPr>
        <w:t>L</w:t>
      </w:r>
      <w:r w:rsidR="007C4DDB" w:rsidRPr="00A44A2C">
        <w:rPr>
          <w:rFonts w:ascii="Times New Roman" w:hAnsi="Times New Roman"/>
          <w:bCs/>
          <w:sz w:val="24"/>
          <w:szCs w:val="24"/>
        </w:rPr>
        <w:t>es activités les plus courantes</w:t>
      </w:r>
      <w:r w:rsidRPr="00A44A2C">
        <w:rPr>
          <w:rFonts w:ascii="Times New Roman" w:hAnsi="Times New Roman"/>
          <w:bCs/>
          <w:sz w:val="24"/>
          <w:szCs w:val="24"/>
        </w:rPr>
        <w:t xml:space="preserve"> sont</w:t>
      </w:r>
      <w:r w:rsidR="007C4DDB" w:rsidRPr="00A44A2C">
        <w:rPr>
          <w:rFonts w:ascii="Times New Roman" w:hAnsi="Times New Roman"/>
          <w:bCs/>
          <w:sz w:val="24"/>
          <w:szCs w:val="24"/>
        </w:rPr>
        <w:t>:</w:t>
      </w:r>
    </w:p>
    <w:p w:rsidR="007C4DDB" w:rsidRPr="00A44A2C" w:rsidRDefault="007C4DDB" w:rsidP="004F58AB">
      <w:pPr>
        <w:numPr>
          <w:ilvl w:val="0"/>
          <w:numId w:val="5"/>
        </w:numPr>
        <w:tabs>
          <w:tab w:val="clear" w:pos="360"/>
          <w:tab w:val="num" w:pos="720"/>
          <w:tab w:val="left" w:pos="900"/>
          <w:tab w:val="left" w:pos="1080"/>
          <w:tab w:val="left" w:pos="1260"/>
          <w:tab w:val="left" w:pos="1440"/>
          <w:tab w:val="left" w:pos="1620"/>
          <w:tab w:val="left" w:pos="2340"/>
        </w:tabs>
        <w:spacing w:before="100" w:beforeAutospacing="1" w:after="100" w:afterAutospacing="1" w:line="240" w:lineRule="auto"/>
        <w:ind w:firstLine="0"/>
        <w:jc w:val="both"/>
        <w:rPr>
          <w:rFonts w:ascii="Times New Roman" w:hAnsi="Times New Roman"/>
          <w:bCs/>
          <w:sz w:val="24"/>
          <w:szCs w:val="24"/>
        </w:rPr>
      </w:pPr>
      <w:r w:rsidRPr="00A44A2C">
        <w:rPr>
          <w:rFonts w:ascii="Times New Roman" w:hAnsi="Times New Roman"/>
          <w:bCs/>
          <w:sz w:val="24"/>
          <w:szCs w:val="24"/>
        </w:rPr>
        <w:t>lire une bande dessinée pour retrouver le thème de l’histoire et/ou parler des éléments qui la constituent;</w:t>
      </w:r>
    </w:p>
    <w:p w:rsidR="007C4DDB" w:rsidRPr="00A44A2C" w:rsidRDefault="007C4DDB" w:rsidP="004F58AB">
      <w:pPr>
        <w:numPr>
          <w:ilvl w:val="0"/>
          <w:numId w:val="4"/>
        </w:numPr>
        <w:tabs>
          <w:tab w:val="left" w:pos="900"/>
          <w:tab w:val="left" w:pos="1080"/>
          <w:tab w:val="left" w:pos="1260"/>
          <w:tab w:val="left" w:pos="1440"/>
          <w:tab w:val="left" w:pos="1620"/>
          <w:tab w:val="left" w:pos="2340"/>
        </w:tabs>
        <w:spacing w:before="100" w:beforeAutospacing="1" w:after="100" w:afterAutospacing="1" w:line="240" w:lineRule="auto"/>
        <w:jc w:val="both"/>
        <w:rPr>
          <w:rFonts w:ascii="Times New Roman" w:hAnsi="Times New Roman"/>
          <w:bCs/>
          <w:sz w:val="24"/>
          <w:szCs w:val="24"/>
        </w:rPr>
      </w:pPr>
      <w:r w:rsidRPr="00A44A2C">
        <w:rPr>
          <w:rFonts w:ascii="Times New Roman" w:hAnsi="Times New Roman"/>
          <w:bCs/>
          <w:sz w:val="24"/>
          <w:szCs w:val="24"/>
        </w:rPr>
        <w:t>reformuler des énoncés lus ou entendus;</w:t>
      </w:r>
    </w:p>
    <w:p w:rsidR="007C4DDB" w:rsidRPr="00A44A2C" w:rsidRDefault="007C4DDB" w:rsidP="004F58AB">
      <w:pPr>
        <w:numPr>
          <w:ilvl w:val="0"/>
          <w:numId w:val="4"/>
        </w:numPr>
        <w:tabs>
          <w:tab w:val="left" w:pos="900"/>
          <w:tab w:val="left" w:pos="1080"/>
          <w:tab w:val="left" w:pos="1260"/>
          <w:tab w:val="left" w:pos="1440"/>
          <w:tab w:val="left" w:pos="1620"/>
          <w:tab w:val="left" w:pos="2340"/>
        </w:tabs>
        <w:spacing w:before="100" w:beforeAutospacing="1" w:after="100" w:afterAutospacing="1" w:line="240" w:lineRule="auto"/>
        <w:jc w:val="both"/>
        <w:rPr>
          <w:rFonts w:ascii="Times New Roman" w:hAnsi="Times New Roman"/>
          <w:bCs/>
          <w:sz w:val="24"/>
          <w:szCs w:val="24"/>
        </w:rPr>
      </w:pPr>
      <w:r w:rsidRPr="00A44A2C">
        <w:rPr>
          <w:rFonts w:ascii="Times New Roman" w:hAnsi="Times New Roman"/>
          <w:bCs/>
          <w:sz w:val="24"/>
          <w:szCs w:val="24"/>
        </w:rPr>
        <w:t>faire le compte rendu oral d’un document sonore;</w:t>
      </w:r>
    </w:p>
    <w:p w:rsidR="007C4DDB" w:rsidRPr="00A44A2C" w:rsidRDefault="007C4DDB" w:rsidP="004F58AB">
      <w:pPr>
        <w:numPr>
          <w:ilvl w:val="0"/>
          <w:numId w:val="4"/>
        </w:numPr>
        <w:tabs>
          <w:tab w:val="left" w:pos="900"/>
          <w:tab w:val="left" w:pos="1080"/>
          <w:tab w:val="left" w:pos="1260"/>
          <w:tab w:val="left" w:pos="1440"/>
          <w:tab w:val="left" w:pos="1620"/>
          <w:tab w:val="left" w:pos="2340"/>
        </w:tabs>
        <w:spacing w:before="100" w:beforeAutospacing="1" w:after="100" w:afterAutospacing="1" w:line="240" w:lineRule="auto"/>
        <w:jc w:val="both"/>
        <w:rPr>
          <w:rFonts w:ascii="Times New Roman" w:hAnsi="Times New Roman"/>
          <w:bCs/>
          <w:sz w:val="24"/>
          <w:szCs w:val="24"/>
        </w:rPr>
      </w:pPr>
      <w:r w:rsidRPr="00A44A2C">
        <w:rPr>
          <w:rFonts w:ascii="Times New Roman" w:hAnsi="Times New Roman"/>
          <w:bCs/>
          <w:sz w:val="24"/>
          <w:szCs w:val="24"/>
        </w:rPr>
        <w:t>faire un exposé oral suscitant un débat.</w:t>
      </w:r>
    </w:p>
    <w:p w:rsidR="0019644B" w:rsidRPr="0019644B" w:rsidRDefault="008E6262" w:rsidP="004F58AB">
      <w:pPr>
        <w:numPr>
          <w:ilvl w:val="0"/>
          <w:numId w:val="4"/>
        </w:numPr>
        <w:tabs>
          <w:tab w:val="left" w:pos="900"/>
          <w:tab w:val="left" w:pos="1080"/>
          <w:tab w:val="left" w:pos="1260"/>
          <w:tab w:val="left" w:pos="1440"/>
          <w:tab w:val="left" w:pos="1620"/>
          <w:tab w:val="left" w:pos="2340"/>
        </w:tabs>
        <w:spacing w:before="100" w:beforeAutospacing="1" w:after="100" w:afterAutospacing="1" w:line="240" w:lineRule="auto"/>
        <w:jc w:val="both"/>
        <w:rPr>
          <w:rFonts w:ascii="Times New Roman" w:hAnsi="Times New Roman"/>
          <w:bCs/>
          <w:sz w:val="24"/>
          <w:szCs w:val="24"/>
        </w:rPr>
      </w:pPr>
      <w:r w:rsidRPr="00A44A2C">
        <w:rPr>
          <w:rFonts w:ascii="Times New Roman" w:hAnsi="Times New Roman"/>
          <w:bCs/>
          <w:sz w:val="24"/>
          <w:szCs w:val="24"/>
        </w:rPr>
        <w:t>Etc.</w:t>
      </w:r>
    </w:p>
    <w:p w:rsidR="007C4DDB" w:rsidRPr="00A44A2C" w:rsidRDefault="008E6262" w:rsidP="004F58AB">
      <w:pPr>
        <w:spacing w:before="100" w:beforeAutospacing="1" w:after="100" w:afterAutospacing="1" w:line="240" w:lineRule="auto"/>
        <w:jc w:val="both"/>
        <w:rPr>
          <w:rFonts w:ascii="Times New Roman" w:hAnsi="Times New Roman"/>
          <w:b/>
          <w:bCs/>
          <w:sz w:val="24"/>
          <w:szCs w:val="24"/>
        </w:rPr>
      </w:pPr>
      <w:r w:rsidRPr="00A44A2C">
        <w:rPr>
          <w:rFonts w:ascii="Times New Roman" w:hAnsi="Times New Roman"/>
          <w:b/>
          <w:bCs/>
          <w:sz w:val="24"/>
          <w:szCs w:val="24"/>
        </w:rPr>
        <w:t xml:space="preserve">Références bibliographiques </w:t>
      </w:r>
    </w:p>
    <w:p w:rsidR="008E6262" w:rsidRPr="00A44A2C" w:rsidRDefault="008E6262" w:rsidP="004F58AB">
      <w:pPr>
        <w:pStyle w:val="Default"/>
        <w:spacing w:before="100" w:beforeAutospacing="1" w:after="100" w:afterAutospacing="1"/>
        <w:jc w:val="both"/>
        <w:rPr>
          <w:rFonts w:ascii="Times New Roman" w:hAnsi="Times New Roman" w:cs="Times New Roman"/>
          <w:color w:val="auto"/>
        </w:rPr>
      </w:pPr>
      <w:r w:rsidRPr="00A44A2C">
        <w:rPr>
          <w:rFonts w:ascii="Times New Roman" w:hAnsi="Times New Roman" w:cs="Times New Roman"/>
          <w:color w:val="auto"/>
        </w:rPr>
        <w:t xml:space="preserve">-Carette E. (2001) « Mieux apprendre à comprendre l’oral en langue étrangère </w:t>
      </w:r>
      <w:r w:rsidRPr="00A44A2C">
        <w:rPr>
          <w:rFonts w:ascii="Times New Roman" w:hAnsi="Times New Roman" w:cs="Times New Roman"/>
          <w:i/>
          <w:iCs/>
          <w:color w:val="auto"/>
        </w:rPr>
        <w:t xml:space="preserve">». </w:t>
      </w:r>
      <w:r w:rsidRPr="00A44A2C">
        <w:rPr>
          <w:rFonts w:ascii="Times New Roman" w:hAnsi="Times New Roman" w:cs="Times New Roman"/>
          <w:color w:val="auto"/>
        </w:rPr>
        <w:t xml:space="preserve">Dans </w:t>
      </w:r>
      <w:r w:rsidRPr="00A44A2C">
        <w:rPr>
          <w:rFonts w:ascii="Times New Roman" w:hAnsi="Times New Roman" w:cs="Times New Roman"/>
          <w:i/>
          <w:iCs/>
          <w:color w:val="auto"/>
        </w:rPr>
        <w:t xml:space="preserve">le Français dans le Monde. Recherches et applications. Janvier 2001. </w:t>
      </w:r>
      <w:r w:rsidRPr="00A44A2C">
        <w:rPr>
          <w:rFonts w:ascii="Times New Roman" w:hAnsi="Times New Roman" w:cs="Times New Roman"/>
          <w:color w:val="auto"/>
        </w:rPr>
        <w:t>CRAPEL. Paris : CLE International</w:t>
      </w:r>
      <w:r w:rsidRPr="00A44A2C">
        <w:rPr>
          <w:rFonts w:ascii="Times New Roman" w:hAnsi="Times New Roman"/>
        </w:rPr>
        <w:t xml:space="preserve"> </w:t>
      </w:r>
      <w:r w:rsidRPr="00A44A2C">
        <w:rPr>
          <w:rFonts w:ascii="Times New Roman" w:hAnsi="Times New Roman" w:cs="Times New Roman"/>
          <w:color w:val="auto"/>
        </w:rPr>
        <w:t xml:space="preserve">Carette E. p128-132. </w:t>
      </w:r>
    </w:p>
    <w:p w:rsidR="008E6262" w:rsidRPr="00A44A2C" w:rsidRDefault="008E6262" w:rsidP="004F58AB">
      <w:pPr>
        <w:pStyle w:val="Default"/>
        <w:spacing w:before="100" w:beforeAutospacing="1" w:after="100" w:afterAutospacing="1"/>
        <w:jc w:val="both"/>
        <w:rPr>
          <w:rFonts w:ascii="Times New Roman" w:hAnsi="Times New Roman"/>
        </w:rPr>
      </w:pPr>
      <w:r w:rsidRPr="00A44A2C">
        <w:rPr>
          <w:rFonts w:ascii="Times New Roman" w:hAnsi="Times New Roman" w:cs="Times New Roman"/>
          <w:color w:val="auto"/>
        </w:rPr>
        <w:t>-</w:t>
      </w:r>
      <w:r w:rsidRPr="00A44A2C">
        <w:rPr>
          <w:rFonts w:ascii="Times New Roman" w:hAnsi="Times New Roman"/>
        </w:rPr>
        <w:t xml:space="preserve"> Cornaire C. (1998) </w:t>
      </w:r>
      <w:r w:rsidRPr="00A44A2C">
        <w:rPr>
          <w:rFonts w:ascii="Times New Roman" w:hAnsi="Times New Roman"/>
          <w:i/>
          <w:iCs/>
        </w:rPr>
        <w:t xml:space="preserve">La compréhension orale, </w:t>
      </w:r>
      <w:r w:rsidRPr="00A44A2C">
        <w:rPr>
          <w:rFonts w:ascii="Times New Roman" w:hAnsi="Times New Roman"/>
        </w:rPr>
        <w:t xml:space="preserve">Paris : CLÉ International, coll. Didactique des langues étrangères </w:t>
      </w:r>
    </w:p>
    <w:p w:rsidR="008E6262" w:rsidRPr="00A44A2C" w:rsidRDefault="008E6262" w:rsidP="004F58AB">
      <w:pPr>
        <w:pStyle w:val="Notedebasdepage"/>
        <w:spacing w:before="100" w:beforeAutospacing="1" w:after="100" w:afterAutospacing="1"/>
        <w:jc w:val="both"/>
        <w:rPr>
          <w:sz w:val="24"/>
          <w:szCs w:val="24"/>
        </w:rPr>
      </w:pPr>
      <w:r w:rsidRPr="00A44A2C">
        <w:rPr>
          <w:sz w:val="24"/>
          <w:szCs w:val="24"/>
        </w:rPr>
        <w:t xml:space="preserve">-Dolz, J.et Schneuwly, B.(1998), </w:t>
      </w:r>
      <w:r w:rsidRPr="00A44A2C">
        <w:rPr>
          <w:i/>
          <w:sz w:val="24"/>
          <w:szCs w:val="24"/>
        </w:rPr>
        <w:t xml:space="preserve">Pour un enseignement de l’oral, Initiation aux genres formels à l’école, </w:t>
      </w:r>
      <w:r w:rsidRPr="00A44A2C">
        <w:rPr>
          <w:sz w:val="24"/>
          <w:szCs w:val="24"/>
        </w:rPr>
        <w:t>ESF, Paris.</w:t>
      </w:r>
    </w:p>
    <w:p w:rsidR="008E6262" w:rsidRPr="00A44A2C" w:rsidRDefault="008E6262" w:rsidP="004F58AB">
      <w:pPr>
        <w:pStyle w:val="Notedebasdepage"/>
        <w:spacing w:before="100" w:beforeAutospacing="1" w:after="100" w:afterAutospacing="1"/>
        <w:jc w:val="both"/>
        <w:rPr>
          <w:sz w:val="24"/>
          <w:szCs w:val="24"/>
        </w:rPr>
      </w:pPr>
      <w:r w:rsidRPr="00A44A2C">
        <w:rPr>
          <w:sz w:val="24"/>
          <w:szCs w:val="24"/>
        </w:rPr>
        <w:t xml:space="preserve">-Garcia-Debanc, C. et Plane, S. (2004), </w:t>
      </w:r>
      <w:r w:rsidRPr="00A44A2C">
        <w:rPr>
          <w:i/>
          <w:sz w:val="24"/>
          <w:szCs w:val="24"/>
        </w:rPr>
        <w:t xml:space="preserve">Comment enseigner l’oral à l’école primaire, </w:t>
      </w:r>
      <w:r w:rsidRPr="00A44A2C">
        <w:rPr>
          <w:sz w:val="24"/>
          <w:szCs w:val="24"/>
        </w:rPr>
        <w:t>Hatier, Paris.</w:t>
      </w:r>
    </w:p>
    <w:p w:rsidR="008E6262" w:rsidRPr="00A44A2C" w:rsidRDefault="008E6262" w:rsidP="004F58AB">
      <w:pPr>
        <w:pStyle w:val="Notedebasdepage"/>
        <w:spacing w:before="100" w:beforeAutospacing="1" w:after="100" w:afterAutospacing="1"/>
        <w:rPr>
          <w:i/>
          <w:sz w:val="24"/>
          <w:szCs w:val="24"/>
        </w:rPr>
      </w:pPr>
      <w:r w:rsidRPr="00A44A2C">
        <w:rPr>
          <w:sz w:val="24"/>
          <w:szCs w:val="24"/>
        </w:rPr>
        <w:t xml:space="preserve">-Perrenoud Ph. Withner M. Martin D. (1998) </w:t>
      </w:r>
      <w:r w:rsidRPr="00A44A2C">
        <w:rPr>
          <w:i/>
          <w:sz w:val="24"/>
          <w:szCs w:val="24"/>
        </w:rPr>
        <w:t>La pédagogie de l’oral en question, fondements et limites, in Parole étouffée, parole libérée, Edition Delachaux et Niestlé. Cité par Roulet E. p. 47</w:t>
      </w:r>
    </w:p>
    <w:p w:rsidR="008E6262" w:rsidRPr="00A44A2C" w:rsidRDefault="008E6262" w:rsidP="004F58AB">
      <w:pPr>
        <w:pStyle w:val="Default"/>
        <w:spacing w:before="100" w:beforeAutospacing="1" w:after="100" w:afterAutospacing="1"/>
        <w:jc w:val="both"/>
        <w:rPr>
          <w:rFonts w:ascii="Times New Roman" w:hAnsi="Times New Roman" w:cs="Times New Roman"/>
          <w:color w:val="auto"/>
        </w:rPr>
      </w:pPr>
    </w:p>
    <w:p w:rsidR="008E6262" w:rsidRPr="00A44A2C" w:rsidRDefault="008E6262" w:rsidP="004F58AB">
      <w:pPr>
        <w:pStyle w:val="Default"/>
        <w:spacing w:before="100" w:beforeAutospacing="1" w:after="100" w:afterAutospacing="1"/>
        <w:ind w:left="720"/>
        <w:jc w:val="both"/>
        <w:rPr>
          <w:rFonts w:ascii="Times New Roman" w:hAnsi="Times New Roman" w:cs="Times New Roman"/>
          <w:color w:val="auto"/>
        </w:rPr>
      </w:pPr>
      <w:r w:rsidRPr="00A44A2C">
        <w:rPr>
          <w:rFonts w:ascii="Times New Roman" w:hAnsi="Times New Roman" w:cs="Times New Roman"/>
          <w:color w:val="auto"/>
        </w:rPr>
        <w:t xml:space="preserve"> </w:t>
      </w:r>
    </w:p>
    <w:p w:rsidR="008E6262" w:rsidRPr="00A44A2C" w:rsidRDefault="008E6262" w:rsidP="004F58AB">
      <w:pPr>
        <w:pStyle w:val="Default"/>
        <w:spacing w:before="100" w:beforeAutospacing="1" w:after="100" w:afterAutospacing="1"/>
        <w:jc w:val="both"/>
        <w:rPr>
          <w:rFonts w:ascii="Times New Roman" w:hAnsi="Times New Roman" w:cs="Times New Roman"/>
          <w:color w:val="auto"/>
        </w:rPr>
      </w:pPr>
    </w:p>
    <w:p w:rsidR="008E6262" w:rsidRPr="00A44A2C" w:rsidRDefault="008E6262" w:rsidP="004F58AB">
      <w:pPr>
        <w:spacing w:before="100" w:beforeAutospacing="1" w:after="100" w:afterAutospacing="1" w:line="240" w:lineRule="auto"/>
        <w:jc w:val="both"/>
        <w:rPr>
          <w:rFonts w:ascii="Times New Roman" w:hAnsi="Times New Roman"/>
          <w:b/>
          <w:bCs/>
          <w:sz w:val="24"/>
          <w:szCs w:val="24"/>
        </w:rPr>
      </w:pPr>
    </w:p>
    <w:p w:rsidR="007C4DDB" w:rsidRPr="00A44A2C" w:rsidRDefault="007C4DDB" w:rsidP="004F58AB">
      <w:pPr>
        <w:tabs>
          <w:tab w:val="left" w:pos="900"/>
          <w:tab w:val="left" w:pos="1080"/>
          <w:tab w:val="left" w:pos="1260"/>
          <w:tab w:val="left" w:pos="1440"/>
          <w:tab w:val="left" w:pos="1620"/>
          <w:tab w:val="left" w:pos="2340"/>
        </w:tabs>
        <w:spacing w:before="100" w:beforeAutospacing="1" w:after="100" w:afterAutospacing="1" w:line="240" w:lineRule="auto"/>
        <w:jc w:val="both"/>
        <w:rPr>
          <w:rFonts w:ascii="Times New Roman" w:hAnsi="Times New Roman"/>
          <w:bCs/>
          <w:sz w:val="24"/>
          <w:szCs w:val="24"/>
        </w:rPr>
      </w:pPr>
    </w:p>
    <w:p w:rsidR="007C4DDB" w:rsidRPr="00A44A2C" w:rsidRDefault="007C4DDB" w:rsidP="004F58AB">
      <w:pPr>
        <w:widowControl w:val="0"/>
        <w:tabs>
          <w:tab w:val="left" w:pos="720"/>
        </w:tabs>
        <w:autoSpaceDE w:val="0"/>
        <w:autoSpaceDN w:val="0"/>
        <w:adjustRightInd w:val="0"/>
        <w:spacing w:before="100" w:beforeAutospacing="1" w:after="100" w:afterAutospacing="1" w:line="240" w:lineRule="auto"/>
        <w:jc w:val="both"/>
        <w:rPr>
          <w:rFonts w:ascii="Times New Roman" w:hAnsi="Times New Roman"/>
          <w:sz w:val="24"/>
          <w:szCs w:val="24"/>
        </w:rPr>
      </w:pPr>
    </w:p>
    <w:p w:rsidR="007C4DDB" w:rsidRPr="00A44A2C" w:rsidRDefault="007C4DDB" w:rsidP="004F58AB">
      <w:pPr>
        <w:widowControl w:val="0"/>
        <w:tabs>
          <w:tab w:val="left" w:pos="720"/>
        </w:tabs>
        <w:autoSpaceDE w:val="0"/>
        <w:autoSpaceDN w:val="0"/>
        <w:adjustRightInd w:val="0"/>
        <w:spacing w:before="100" w:beforeAutospacing="1" w:after="100" w:afterAutospacing="1" w:line="240" w:lineRule="auto"/>
        <w:jc w:val="both"/>
        <w:rPr>
          <w:rFonts w:ascii="Times New Roman" w:hAnsi="Times New Roman"/>
          <w:sz w:val="24"/>
          <w:szCs w:val="24"/>
        </w:rPr>
      </w:pPr>
    </w:p>
    <w:p w:rsidR="00EA41AF" w:rsidRPr="00A44A2C" w:rsidRDefault="00EA41AF" w:rsidP="004F58AB">
      <w:pPr>
        <w:spacing w:before="100" w:beforeAutospacing="1" w:after="100" w:afterAutospacing="1" w:line="240" w:lineRule="auto"/>
        <w:jc w:val="both"/>
        <w:rPr>
          <w:rFonts w:ascii="Times New Roman" w:hAnsi="Times New Roman"/>
          <w:sz w:val="24"/>
          <w:szCs w:val="24"/>
        </w:rPr>
      </w:pPr>
    </w:p>
    <w:sectPr w:rsidR="00EA41AF" w:rsidRPr="00A44A2C" w:rsidSect="00EA41AF">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513B" w:rsidRDefault="007A513B" w:rsidP="007C4DDB">
      <w:pPr>
        <w:spacing w:after="0" w:line="240" w:lineRule="auto"/>
      </w:pPr>
      <w:r>
        <w:separator/>
      </w:r>
    </w:p>
  </w:endnote>
  <w:endnote w:type="continuationSeparator" w:id="0">
    <w:p w:rsidR="007A513B" w:rsidRDefault="007A513B" w:rsidP="007C4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513B" w:rsidRDefault="007A513B" w:rsidP="007C4DDB">
      <w:pPr>
        <w:spacing w:after="0" w:line="240" w:lineRule="auto"/>
      </w:pPr>
      <w:r>
        <w:separator/>
      </w:r>
    </w:p>
  </w:footnote>
  <w:footnote w:type="continuationSeparator" w:id="0">
    <w:p w:rsidR="007A513B" w:rsidRDefault="007A513B" w:rsidP="007C4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4DDB" w:rsidRDefault="004F58AB">
    <w:pPr>
      <w:pStyle w:val="En-tte"/>
      <w:rPr>
        <w:b/>
      </w:rPr>
    </w:pPr>
    <w:r>
      <w:rPr>
        <w:b/>
      </w:rPr>
      <w:t xml:space="preserve">Master 1 : </w:t>
    </w:r>
    <w:r w:rsidR="007C4DDB" w:rsidRPr="007C4DDB">
      <w:rPr>
        <w:b/>
      </w:rPr>
      <w:t xml:space="preserve">Didactique de l’oral                                                         </w:t>
    </w:r>
    <w:r>
      <w:rPr>
        <w:b/>
      </w:rPr>
      <w:t xml:space="preserve">                  </w:t>
    </w:r>
    <w:r w:rsidR="007C4DDB" w:rsidRPr="007C4DDB">
      <w:rPr>
        <w:b/>
      </w:rPr>
      <w:t>Dr OUYOUGOUTE S.</w:t>
    </w:r>
    <w:r>
      <w:rPr>
        <w:b/>
      </w:rPr>
      <w:t xml:space="preserve"> </w:t>
    </w:r>
  </w:p>
  <w:p w:rsidR="004F58AB" w:rsidRPr="007C4DDB" w:rsidRDefault="004F58AB">
    <w:pPr>
      <w:pStyle w:val="En-tte"/>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1.2pt" o:bullet="t">
        <v:imagedata r:id="rId1" o:title="msoB59A"/>
      </v:shape>
    </w:pict>
  </w:numPicBullet>
  <w:abstractNum w:abstractNumId="0" w15:restartNumberingAfterBreak="0">
    <w:nsid w:val="20910FA1"/>
    <w:multiLevelType w:val="hybridMultilevel"/>
    <w:tmpl w:val="F17A656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557A2F"/>
    <w:multiLevelType w:val="hybridMultilevel"/>
    <w:tmpl w:val="85580A70"/>
    <w:lvl w:ilvl="0" w:tplc="6D1AEFE6">
      <w:start w:val="2"/>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DEA157A"/>
    <w:multiLevelType w:val="hybridMultilevel"/>
    <w:tmpl w:val="4192E46C"/>
    <w:lvl w:ilvl="0" w:tplc="6D1AEFE6">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C353FD"/>
    <w:multiLevelType w:val="hybridMultilevel"/>
    <w:tmpl w:val="54FE145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9C2D64"/>
    <w:multiLevelType w:val="hybridMultilevel"/>
    <w:tmpl w:val="E59AE86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02E05AE"/>
    <w:multiLevelType w:val="hybridMultilevel"/>
    <w:tmpl w:val="178EE43E"/>
    <w:lvl w:ilvl="0" w:tplc="16040E76">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C627C7B"/>
    <w:multiLevelType w:val="hybridMultilevel"/>
    <w:tmpl w:val="2CB0D3C4"/>
    <w:lvl w:ilvl="0" w:tplc="38AED718">
      <w:start w:val="1"/>
      <w:numFmt w:val="decimal"/>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num w:numId="1">
    <w:abstractNumId w:val="6"/>
  </w:num>
  <w:num w:numId="2">
    <w:abstractNumId w:val="5"/>
  </w:num>
  <w:num w:numId="3">
    <w:abstractNumId w:val="0"/>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DDB"/>
    <w:rsid w:val="00065DC9"/>
    <w:rsid w:val="0019644B"/>
    <w:rsid w:val="004F58AB"/>
    <w:rsid w:val="006A1D42"/>
    <w:rsid w:val="007A513B"/>
    <w:rsid w:val="007C4DDB"/>
    <w:rsid w:val="008E6262"/>
    <w:rsid w:val="00A44A2C"/>
    <w:rsid w:val="00AA553E"/>
    <w:rsid w:val="00EA41AF"/>
    <w:rsid w:val="00F41E8E"/>
    <w:rsid w:val="00F65E6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FCBBC41-2E06-6244-9277-1E3240E6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DB"/>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7C4DDB"/>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7C4DDB"/>
  </w:style>
  <w:style w:type="paragraph" w:styleId="Pieddepage">
    <w:name w:val="footer"/>
    <w:basedOn w:val="Normal"/>
    <w:link w:val="PieddepageCar"/>
    <w:uiPriority w:val="99"/>
    <w:semiHidden/>
    <w:unhideWhenUsed/>
    <w:rsid w:val="007C4DDB"/>
    <w:pPr>
      <w:tabs>
        <w:tab w:val="center" w:pos="4320"/>
        <w:tab w:val="right" w:pos="8640"/>
      </w:tabs>
      <w:spacing w:after="0" w:line="240" w:lineRule="auto"/>
    </w:pPr>
  </w:style>
  <w:style w:type="character" w:customStyle="1" w:styleId="PieddepageCar">
    <w:name w:val="Pied de page Car"/>
    <w:basedOn w:val="Policepardfaut"/>
    <w:link w:val="Pieddepage"/>
    <w:uiPriority w:val="99"/>
    <w:semiHidden/>
    <w:rsid w:val="007C4DDB"/>
  </w:style>
  <w:style w:type="paragraph" w:styleId="Sous-titre">
    <w:name w:val="Subtitle"/>
    <w:basedOn w:val="Normal"/>
    <w:next w:val="Normal"/>
    <w:link w:val="Sous-titreCar"/>
    <w:uiPriority w:val="11"/>
    <w:qFormat/>
    <w:rsid w:val="007C4DDB"/>
    <w:pPr>
      <w:spacing w:after="60"/>
      <w:jc w:val="center"/>
      <w:outlineLvl w:val="1"/>
    </w:pPr>
    <w:rPr>
      <w:rFonts w:ascii="Cambria" w:eastAsia="Times New Roman" w:hAnsi="Cambria"/>
      <w:sz w:val="24"/>
      <w:szCs w:val="24"/>
    </w:rPr>
  </w:style>
  <w:style w:type="character" w:customStyle="1" w:styleId="Sous-titreCar">
    <w:name w:val="Sous-titre Car"/>
    <w:basedOn w:val="Policepardfaut"/>
    <w:link w:val="Sous-titre"/>
    <w:uiPriority w:val="11"/>
    <w:rsid w:val="007C4DDB"/>
    <w:rPr>
      <w:rFonts w:ascii="Cambria" w:eastAsia="Times New Roman" w:hAnsi="Cambria" w:cs="Times New Roman"/>
      <w:sz w:val="24"/>
      <w:szCs w:val="24"/>
      <w:lang w:val="fr-FR"/>
    </w:rPr>
  </w:style>
  <w:style w:type="paragraph" w:customStyle="1" w:styleId="Default">
    <w:name w:val="Default"/>
    <w:rsid w:val="007C4DDB"/>
    <w:pPr>
      <w:autoSpaceDE w:val="0"/>
      <w:autoSpaceDN w:val="0"/>
      <w:adjustRightInd w:val="0"/>
    </w:pPr>
    <w:rPr>
      <w:rFonts w:ascii="Georgia" w:hAnsi="Georgia" w:cs="Georgia"/>
      <w:color w:val="000000"/>
      <w:sz w:val="24"/>
      <w:szCs w:val="24"/>
    </w:rPr>
  </w:style>
  <w:style w:type="paragraph" w:styleId="Paragraphedeliste">
    <w:name w:val="List Paragraph"/>
    <w:basedOn w:val="Normal"/>
    <w:uiPriority w:val="34"/>
    <w:qFormat/>
    <w:rsid w:val="007C4DDB"/>
    <w:pPr>
      <w:ind w:left="720"/>
      <w:contextualSpacing/>
    </w:pPr>
  </w:style>
  <w:style w:type="paragraph" w:styleId="Notedebasdepage">
    <w:name w:val="footnote text"/>
    <w:basedOn w:val="Normal"/>
    <w:link w:val="NotedebasdepageCar"/>
    <w:uiPriority w:val="99"/>
    <w:rsid w:val="008E6262"/>
    <w:pPr>
      <w:spacing w:after="0" w:line="240" w:lineRule="auto"/>
    </w:pPr>
    <w:rPr>
      <w:rFonts w:ascii="Times New Roman" w:eastAsia="Times New Roman" w:hAnsi="Times New Roman"/>
      <w:sz w:val="20"/>
      <w:szCs w:val="20"/>
      <w:lang w:eastAsia="fr-FR"/>
    </w:rPr>
  </w:style>
  <w:style w:type="character" w:customStyle="1" w:styleId="NotedebasdepageCar">
    <w:name w:val="Note de bas de page Car"/>
    <w:basedOn w:val="Policepardfaut"/>
    <w:link w:val="Notedebasdepage"/>
    <w:uiPriority w:val="99"/>
    <w:rsid w:val="008E6262"/>
    <w:rPr>
      <w:rFonts w:ascii="Times New Roman" w:eastAsia="Times New Roman" w:hAnsi="Times New Roman"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918</Words>
  <Characters>5053</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 serveur</dc:creator>
  <cp:keywords/>
  <cp:lastModifiedBy>213554904044</cp:lastModifiedBy>
  <cp:revision>2</cp:revision>
  <dcterms:created xsi:type="dcterms:W3CDTF">2022-05-01T11:29:00Z</dcterms:created>
  <dcterms:modified xsi:type="dcterms:W3CDTF">2022-05-01T11:29:00Z</dcterms:modified>
</cp:coreProperties>
</file>