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Faculté des sciences économiques, des sciences            </w:t>
      </w:r>
      <w:r>
        <w:rPr>
          <w:rFonts w:hint="default" w:ascii="Times New Roman" w:hAnsi="Times New Roman" w:cs="Times New Roman"/>
          <w:sz w:val="24"/>
          <w:szCs w:val="24"/>
          <w:lang w:val="fr-FR"/>
        </w:rPr>
        <w:t xml:space="preserve">                         </w:t>
      </w:r>
      <w:r>
        <w:rPr>
          <w:rFonts w:hint="default" w:ascii="Times New Roman" w:hAnsi="Times New Roman" w:cs="Times New Roman"/>
          <w:b/>
          <w:bCs/>
          <w:sz w:val="24"/>
          <w:szCs w:val="24"/>
          <w:u w:val="single"/>
        </w:rPr>
        <w:t>Date</w:t>
      </w:r>
      <w:r>
        <w:rPr>
          <w:rFonts w:hint="default" w:ascii="Times New Roman" w:hAnsi="Times New Roman" w:cs="Times New Roman"/>
          <w:sz w:val="24"/>
          <w:szCs w:val="24"/>
        </w:rPr>
        <w:t>: 01/06/2022</w:t>
      </w: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de gestion et commerciales (SEGC)                                  </w:t>
      </w:r>
    </w:p>
    <w:p>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Département des sciences économiques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pPr>
        <w:spacing w:line="240" w:lineRule="auto"/>
        <w:jc w:val="both"/>
        <w:rPr>
          <w:rFonts w:hint="default" w:ascii="Times New Roman" w:hAnsi="Times New Roman" w:cs="Times New Roman"/>
          <w:sz w:val="24"/>
          <w:szCs w:val="24"/>
        </w:rPr>
      </w:pPr>
      <w:r>
        <w:rPr>
          <w:rFonts w:hint="default" w:ascii="Times New Roman" w:hAnsi="Times New Roman" w:cs="Times New Roman"/>
          <w:b/>
          <w:sz w:val="24"/>
          <w:szCs w:val="24"/>
          <w:u w:val="single"/>
        </w:rPr>
        <w:t>Master I</w:t>
      </w:r>
      <w:r>
        <w:rPr>
          <w:rFonts w:hint="default" w:ascii="Times New Roman" w:hAnsi="Times New Roman" w:cs="Times New Roman"/>
          <w:sz w:val="24"/>
          <w:szCs w:val="24"/>
        </w:rPr>
        <w:t xml:space="preserve"> : </w:t>
      </w:r>
      <w:r>
        <w:rPr>
          <w:rFonts w:hint="default" w:ascii="Times New Roman" w:hAnsi="Times New Roman" w:cs="Times New Roman"/>
          <w:b/>
          <w:bCs/>
          <w:sz w:val="24"/>
          <w:szCs w:val="24"/>
        </w:rPr>
        <w:t>Economie Quantitative</w:t>
      </w:r>
      <w:r>
        <w:rPr>
          <w:rFonts w:hint="default" w:ascii="Times New Roman" w:hAnsi="Times New Roman" w:cs="Times New Roman"/>
          <w:sz w:val="24"/>
          <w:szCs w:val="24"/>
        </w:rPr>
        <w:tab/>
      </w:r>
    </w:p>
    <w:p>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u w:val="single"/>
        </w:rPr>
        <w:t xml:space="preserve">Module </w:t>
      </w:r>
      <w:r>
        <w:rPr>
          <w:rFonts w:hint="default" w:ascii="Times New Roman" w:hAnsi="Times New Roman" w:cs="Times New Roman"/>
          <w:b/>
          <w:sz w:val="24"/>
          <w:szCs w:val="24"/>
        </w:rPr>
        <w:t>: Entrepreneuriat</w:t>
      </w:r>
    </w:p>
    <w:p>
      <w:pPr>
        <w:jc w:val="both"/>
        <w:rPr>
          <w:rFonts w:hint="default" w:ascii="Times New Roman" w:hAnsi="Times New Roman" w:eastAsia="Calibri" w:cs="Times New Roman"/>
          <w:b/>
          <w:sz w:val="24"/>
          <w:szCs w:val="24"/>
          <w:u w:val="single"/>
        </w:rPr>
      </w:pP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fr-FR"/>
        </w:rPr>
        <w:t xml:space="preserve">  </w:t>
      </w:r>
      <w:r>
        <w:rPr>
          <w:rFonts w:hint="default" w:ascii="Times New Roman" w:hAnsi="Times New Roman" w:cs="Times New Roman"/>
          <w:b/>
          <w:sz w:val="24"/>
          <w:szCs w:val="24"/>
          <w:u w:val="single"/>
          <w:lang w:val="fr-FR"/>
        </w:rPr>
        <w:t>Corrigé de l’</w:t>
      </w:r>
      <w:r>
        <w:rPr>
          <w:rFonts w:hint="default" w:ascii="Times New Roman" w:hAnsi="Times New Roman" w:eastAsia="Calibri" w:cs="Times New Roman"/>
          <w:b/>
          <w:sz w:val="24"/>
          <w:szCs w:val="24"/>
          <w:u w:val="single"/>
        </w:rPr>
        <w:t>EMD</w:t>
      </w:r>
    </w:p>
    <w:p>
      <w:pPr>
        <w:jc w:val="both"/>
        <w:rPr>
          <w:rFonts w:hint="default" w:ascii="Times New Roman" w:hAnsi="Times New Roman" w:eastAsia="Calibri" w:cs="Times New Roman"/>
          <w:b/>
          <w:sz w:val="24"/>
          <w:szCs w:val="24"/>
          <w:u w:val="single"/>
        </w:rPr>
      </w:pPr>
      <w:r>
        <w:rPr>
          <w:rFonts w:hint="default" w:ascii="Times New Roman" w:hAnsi="Times New Roman" w:eastAsia="Calibri" w:cs="Times New Roman"/>
          <w:b/>
          <w:sz w:val="24"/>
          <w:szCs w:val="24"/>
          <w:u w:val="single"/>
          <w:lang w:val="fr-FR"/>
        </w:rPr>
        <w:t>Réponses</w:t>
      </w:r>
    </w:p>
    <w:p>
      <w:pPr>
        <w:spacing w:line="36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1.</w:t>
      </w:r>
      <w:r>
        <w:rPr>
          <w:rFonts w:hint="default" w:ascii="Times New Roman" w:hAnsi="Times New Roman" w:eastAsia="Calibri" w:cs="Times New Roman"/>
          <w:b w:val="0"/>
          <w:bCs/>
          <w:sz w:val="24"/>
          <w:szCs w:val="24"/>
          <w:lang w:val="fr-FR"/>
        </w:rPr>
        <w:t>(10 pts)</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 xml:space="preserve">Le niveau de création des entreprises en Algérie est jugé comme </w:t>
      </w:r>
      <w:r>
        <w:rPr>
          <w:rFonts w:hint="default" w:ascii="Times New Roman" w:hAnsi="Times New Roman" w:eastAsia="Calibri" w:cs="Times New Roman"/>
          <w:b/>
          <w:sz w:val="24"/>
          <w:szCs w:val="24"/>
          <w:lang w:val="fr-FR"/>
        </w:rPr>
        <w:tab/>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 xml:space="preserve">insuffisant par rapport à d'autres pays de niveau de </w:t>
      </w:r>
      <w:r>
        <w:rPr>
          <w:rFonts w:hint="default" w:ascii="Times New Roman" w:hAnsi="Times New Roman" w:eastAsia="Calibri" w:cs="Times New Roman"/>
          <w:b/>
          <w:sz w:val="24"/>
          <w:szCs w:val="24"/>
          <w:lang w:val="fr-FR"/>
        </w:rPr>
        <w:tab/>
      </w:r>
      <w:r>
        <w:rPr>
          <w:rFonts w:hint="default" w:ascii="Times New Roman" w:hAnsi="Times New Roman" w:eastAsia="Calibri" w:cs="Times New Roman"/>
          <w:b/>
          <w:sz w:val="24"/>
          <w:szCs w:val="24"/>
          <w:lang w:val="fr-FR"/>
        </w:rPr>
        <w:tab/>
      </w:r>
      <w:r>
        <w:rPr>
          <w:rFonts w:hint="default" w:ascii="Times New Roman" w:hAnsi="Times New Roman" w:eastAsia="Calibri" w:cs="Times New Roman"/>
          <w:b/>
          <w:sz w:val="24"/>
          <w:szCs w:val="24"/>
          <w:lang w:val="fr-FR"/>
        </w:rPr>
        <w:tab/>
      </w:r>
      <w:r>
        <w:rPr>
          <w:rFonts w:hint="default" w:ascii="Times New Roman" w:hAnsi="Times New Roman" w:eastAsia="Calibri" w:cs="Times New Roman"/>
          <w:b/>
          <w:sz w:val="24"/>
          <w:szCs w:val="24"/>
          <w:lang w:val="fr-FR"/>
        </w:rPr>
        <w:tab/>
      </w:r>
      <w:r>
        <w:rPr>
          <w:rFonts w:hint="default" w:ascii="Times New Roman" w:hAnsi="Times New Roman" w:eastAsia="Calibri" w:cs="Times New Roman"/>
          <w:b/>
          <w:sz w:val="24"/>
          <w:szCs w:val="24"/>
        </w:rPr>
        <w:t>développement comparables.</w:t>
      </w:r>
    </w:p>
    <w:p>
      <w:pPr>
        <w:spacing w:line="36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         a. </w:t>
      </w:r>
      <w:r>
        <w:rPr>
          <w:rFonts w:hint="default" w:ascii="Times New Roman" w:hAnsi="Times New Roman" w:eastAsia="Calibri" w:cs="Times New Roman"/>
          <w:b w:val="0"/>
          <w:bCs/>
          <w:sz w:val="24"/>
          <w:szCs w:val="24"/>
          <w:lang w:val="fr-FR"/>
        </w:rPr>
        <w:t>(4 pts)</w:t>
      </w:r>
      <w:r>
        <w:rPr>
          <w:rFonts w:hint="default" w:ascii="Times New Roman" w:hAnsi="Times New Roman" w:eastAsia="Calibri" w:cs="Times New Roman"/>
          <w:b/>
          <w:sz w:val="24"/>
          <w:szCs w:val="24"/>
          <w:lang w:val="fr-FR"/>
        </w:rPr>
        <w:t xml:space="preserve"> </w:t>
      </w:r>
      <w:r>
        <w:rPr>
          <w:rFonts w:hint="default" w:ascii="Times New Roman" w:hAnsi="Times New Roman" w:eastAsia="Calibri" w:cs="Times New Roman"/>
          <w:b/>
          <w:sz w:val="24"/>
          <w:szCs w:val="24"/>
        </w:rPr>
        <w:t xml:space="preserve">quels indicateurs quantitatifs permettent de vérifier cette </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rPr>
        <w:t xml:space="preserve">affirmation?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Il y a une multitude d’indicateurs (voir tableau récapitulatif distribué en synthèse du cours) utilisés de par lemonde qui ne sont pas toujours comparables d’où la difficulté à comparer les dynamiques entrepreneuriales de différents pays.</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En Algérie, les statistiques sont produites par diverses institutions (ONS, CNRC, Ministère de l’industrie, Ministère de l’artisanat, ANSEJ, ANGEM, CNAC, etc.). Les indicateurs les plus usités sont les inscriptions au registre du commerce fournies par le CNRC mais qui ne tiennent pas compte du secteur informel (secteur dit non observé), l’effectif des employeurs et des travailleurs indépendants qu’on peut retrouver dans les statistiques et les enquêtes de l’ONS sur l’emploi, les statistiques sectorielles des ministères de l’industrie, de la PME et de l’artisanat  ou, enfin, les données fournies par les agences d’aide à la création d’entreprises  (Ansej, Angem, Cnac). </w:t>
      </w:r>
    </w:p>
    <w:p>
      <w:pPr>
        <w:spacing w:line="360" w:lineRule="auto"/>
        <w:jc w:val="both"/>
        <w:rPr>
          <w:rFonts w:hint="default" w:ascii="Times New Roman" w:hAnsi="Times New Roman" w:eastAsia="Calibri" w:cs="Times New Roman"/>
          <w:b/>
          <w:sz w:val="24"/>
          <w:szCs w:val="24"/>
        </w:rPr>
      </w:pPr>
      <w:r>
        <w:rPr>
          <w:rFonts w:hint="default" w:ascii="Times New Roman" w:hAnsi="Times New Roman" w:cs="Times New Roman"/>
          <w:sz w:val="24"/>
          <w:szCs w:val="24"/>
        </w:rPr>
        <w:t>Pour les comparaisons internationales, l’indicateur le plus utilisé est le nombre d’entreprises pour 1000 ou 10 .000 habitants  selon les auteurs. Ainsi, pour le ratio de 1000 habitants, le chiffre serait de 5 en Algérie, 38 au Brésil et en France, 58 en Angleterre et 73 aux USA</w:t>
      </w:r>
    </w:p>
    <w:p>
      <w:pPr>
        <w:spacing w:line="36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        b. </w:t>
      </w:r>
      <w:r>
        <w:rPr>
          <w:rFonts w:hint="default" w:ascii="Times New Roman" w:hAnsi="Times New Roman" w:eastAsia="Calibri" w:cs="Times New Roman"/>
          <w:b/>
          <w:sz w:val="24"/>
          <w:szCs w:val="24"/>
          <w:lang w:val="fr-FR"/>
        </w:rPr>
        <w:t xml:space="preserve"> </w:t>
      </w:r>
      <w:r>
        <w:rPr>
          <w:rFonts w:hint="default" w:ascii="Times New Roman" w:hAnsi="Times New Roman" w:eastAsia="Calibri" w:cs="Times New Roman"/>
          <w:b w:val="0"/>
          <w:bCs/>
          <w:sz w:val="24"/>
          <w:szCs w:val="24"/>
          <w:lang w:val="fr-FR"/>
        </w:rPr>
        <w:t>(6 pts)</w:t>
      </w:r>
      <w:r>
        <w:rPr>
          <w:rFonts w:hint="default" w:ascii="Times New Roman" w:hAnsi="Times New Roman" w:eastAsia="Calibri" w:cs="Times New Roman"/>
          <w:b/>
          <w:sz w:val="24"/>
          <w:szCs w:val="24"/>
          <w:lang w:val="fr-FR"/>
        </w:rPr>
        <w:t xml:space="preserve"> </w:t>
      </w:r>
      <w:r>
        <w:rPr>
          <w:rFonts w:hint="default" w:ascii="Times New Roman" w:hAnsi="Times New Roman" w:eastAsia="Calibri" w:cs="Times New Roman"/>
          <w:b/>
          <w:sz w:val="24"/>
          <w:szCs w:val="24"/>
        </w:rPr>
        <w:t xml:space="preserve">De quels outils d'intervention dispose l'Etat qui lui </w:t>
      </w:r>
      <w:r>
        <w:rPr>
          <w:rFonts w:hint="default" w:ascii="Times New Roman" w:hAnsi="Times New Roman" w:eastAsia="Calibri" w:cs="Times New Roman"/>
          <w:b/>
          <w:sz w:val="24"/>
          <w:szCs w:val="24"/>
          <w:lang w:val="fr-FR"/>
        </w:rPr>
        <w:tab/>
      </w:r>
      <w:r>
        <w:rPr>
          <w:rFonts w:hint="default" w:ascii="Times New Roman" w:hAnsi="Times New Roman" w:eastAsia="Calibri" w:cs="Times New Roman"/>
          <w:b/>
          <w:sz w:val="24"/>
          <w:szCs w:val="24"/>
          <w:lang w:val="fr-FR"/>
        </w:rPr>
        <w:tab/>
      </w:r>
      <w:r>
        <w:rPr>
          <w:rFonts w:hint="default" w:ascii="Times New Roman" w:hAnsi="Times New Roman" w:eastAsia="Calibri" w:cs="Times New Roman"/>
          <w:b/>
          <w:sz w:val="24"/>
          <w:szCs w:val="24"/>
          <w:lang w:val="fr-FR"/>
        </w:rPr>
        <w:tab/>
      </w:r>
      <w:r>
        <w:rPr>
          <w:rFonts w:hint="default" w:ascii="Times New Roman" w:hAnsi="Times New Roman" w:eastAsia="Calibri" w:cs="Times New Roman"/>
          <w:b/>
          <w:sz w:val="24"/>
          <w:szCs w:val="24"/>
          <w:lang w:val="fr-FR"/>
        </w:rPr>
        <w:tab/>
      </w:r>
      <w:r>
        <w:rPr>
          <w:rFonts w:hint="default" w:ascii="Times New Roman" w:hAnsi="Times New Roman" w:eastAsia="Calibri" w:cs="Times New Roman"/>
          <w:b/>
          <w:sz w:val="24"/>
          <w:szCs w:val="24"/>
        </w:rPr>
        <w:t>permettent de l'améliorer?</w:t>
      </w:r>
    </w:p>
    <w:p>
      <w:pPr>
        <w:spacing w:line="360" w:lineRule="auto"/>
        <w:jc w:val="both"/>
        <w:rPr>
          <w:rFonts w:hint="default" w:ascii="Times New Roman" w:hAnsi="Times New Roman" w:eastAsia="Calibri" w:cs="Times New Roman"/>
          <w:b w:val="0"/>
          <w:bCs/>
          <w:sz w:val="24"/>
          <w:szCs w:val="24"/>
          <w:lang w:val="fr-FR"/>
        </w:rPr>
      </w:pPr>
      <w:r>
        <w:rPr>
          <w:rFonts w:hint="default" w:ascii="Times New Roman" w:hAnsi="Times New Roman" w:eastAsia="Calibri" w:cs="Times New Roman"/>
          <w:b w:val="0"/>
          <w:bCs/>
          <w:sz w:val="24"/>
          <w:szCs w:val="24"/>
          <w:lang w:val="fr-FR"/>
        </w:rPr>
        <w:t>Pour répondre à cette partie de la question, il faut revenir au tableau des déterminants (annexe du cours) et plus précisemment l’intervention de l’Etat. Ce dernier a à sa disposition plusieurs leviers et outils d’intervention:</w:t>
      </w:r>
    </w:p>
    <w:p>
      <w:pPr>
        <w:spacing w:line="360" w:lineRule="auto"/>
        <w:jc w:val="both"/>
        <w:rPr>
          <w:rFonts w:hint="default" w:ascii="Times New Roman" w:hAnsi="Times New Roman" w:eastAsia="Calibri" w:cs="Times New Roman"/>
          <w:b w:val="0"/>
          <w:bCs/>
          <w:sz w:val="24"/>
          <w:szCs w:val="24"/>
          <w:lang w:val="fr-FR"/>
        </w:rPr>
      </w:pPr>
      <w:r>
        <w:rPr>
          <w:rFonts w:hint="default" w:ascii="Times New Roman" w:hAnsi="Times New Roman" w:eastAsia="Calibri" w:cs="Times New Roman"/>
          <w:b w:val="0"/>
          <w:bCs/>
          <w:sz w:val="24"/>
          <w:szCs w:val="24"/>
          <w:lang w:val="fr-FR"/>
        </w:rPr>
        <w:t>- les politiques macroéconomiques (fiscalité, régulation du marché du travail, la sécurité sociale, la politique des revenus, etc.);</w:t>
      </w:r>
    </w:p>
    <w:p>
      <w:pPr>
        <w:spacing w:line="360" w:lineRule="auto"/>
        <w:jc w:val="both"/>
        <w:rPr>
          <w:rFonts w:hint="default" w:ascii="Times New Roman" w:hAnsi="Times New Roman" w:eastAsia="Calibri" w:cs="Times New Roman"/>
          <w:b w:val="0"/>
          <w:bCs/>
          <w:sz w:val="24"/>
          <w:szCs w:val="24"/>
          <w:lang w:val="fr-FR"/>
        </w:rPr>
      </w:pPr>
      <w:r>
        <w:rPr>
          <w:rFonts w:hint="default" w:ascii="Times New Roman" w:hAnsi="Times New Roman" w:eastAsia="Calibri" w:cs="Times New Roman"/>
          <w:b w:val="0"/>
          <w:bCs/>
          <w:sz w:val="24"/>
          <w:szCs w:val="24"/>
          <w:lang w:val="fr-FR"/>
        </w:rPr>
        <w:t>- la régulation de la vie des entreprises (les procedures de création, les conditions de mise en faillite, la dérégulation de l’économie, l’organisation de la concurrence, les procédures administratives, etc.);</w:t>
      </w:r>
    </w:p>
    <w:p>
      <w:pPr>
        <w:spacing w:line="360" w:lineRule="auto"/>
        <w:jc w:val="both"/>
        <w:rPr>
          <w:rFonts w:hint="default" w:ascii="Times New Roman" w:hAnsi="Times New Roman" w:eastAsia="Calibri" w:cs="Times New Roman"/>
          <w:b w:val="0"/>
          <w:bCs/>
          <w:sz w:val="24"/>
          <w:szCs w:val="24"/>
          <w:lang w:val="fr-FR"/>
        </w:rPr>
      </w:pPr>
      <w:r>
        <w:rPr>
          <w:rFonts w:hint="default" w:ascii="Times New Roman" w:hAnsi="Times New Roman" w:eastAsia="Calibri" w:cs="Times New Roman"/>
          <w:b w:val="0"/>
          <w:bCs/>
          <w:sz w:val="24"/>
          <w:szCs w:val="24"/>
          <w:lang w:val="fr-FR"/>
        </w:rPr>
        <w:t>- les politiques sectorielles et spécifiques (programmes publics par secteurs, politique de recherche et R&amp;D, etc.);</w:t>
      </w:r>
    </w:p>
    <w:p>
      <w:pPr>
        <w:spacing w:line="360" w:lineRule="auto"/>
        <w:jc w:val="both"/>
        <w:rPr>
          <w:rFonts w:hint="default" w:ascii="Times New Roman" w:hAnsi="Times New Roman" w:eastAsia="Calibri" w:cs="Times New Roman"/>
          <w:b w:val="0"/>
          <w:bCs/>
          <w:sz w:val="24"/>
          <w:szCs w:val="24"/>
          <w:lang w:val="fr-FR"/>
        </w:rPr>
      </w:pPr>
      <w:r>
        <w:rPr>
          <w:rFonts w:hint="default" w:ascii="Times New Roman" w:hAnsi="Times New Roman" w:eastAsia="Calibri" w:cs="Times New Roman"/>
          <w:b w:val="0"/>
          <w:bCs/>
          <w:sz w:val="24"/>
          <w:szCs w:val="24"/>
          <w:lang w:val="fr-FR"/>
        </w:rPr>
        <w:t>- la politique d’éducation-formation (éducation générale et éducation spécifique à l’entrepreneuriat, formation professionnelle, accompagnement, etc.).</w:t>
      </w:r>
    </w:p>
    <w:p>
      <w:pPr>
        <w:spacing w:line="360" w:lineRule="auto"/>
        <w:jc w:val="both"/>
        <w:rPr>
          <w:rFonts w:hint="default" w:ascii="Times New Roman" w:hAnsi="Times New Roman" w:eastAsia="Calibri" w:cs="Times New Roman"/>
          <w:b w:val="0"/>
          <w:bCs/>
          <w:sz w:val="24"/>
          <w:szCs w:val="24"/>
          <w:lang w:val="fr-FR"/>
        </w:rPr>
      </w:pPr>
    </w:p>
    <w:p>
      <w:pPr>
        <w:spacing w:line="36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2. </w:t>
      </w:r>
      <w:r>
        <w:rPr>
          <w:rFonts w:hint="default" w:ascii="Times New Roman" w:hAnsi="Times New Roman" w:eastAsia="Calibri" w:cs="Times New Roman"/>
          <w:b w:val="0"/>
          <w:bCs/>
          <w:sz w:val="24"/>
          <w:szCs w:val="24"/>
          <w:lang w:val="fr-FR"/>
        </w:rPr>
        <w:t>( 4 pts)</w:t>
      </w:r>
      <w:r>
        <w:rPr>
          <w:rFonts w:hint="default" w:ascii="Times New Roman" w:hAnsi="Times New Roman" w:eastAsia="Calibri" w:cs="Times New Roman"/>
          <w:b/>
          <w:sz w:val="24"/>
          <w:szCs w:val="24"/>
          <w:lang w:val="fr-FR"/>
        </w:rPr>
        <w:t xml:space="preserve"> </w:t>
      </w:r>
      <w:r>
        <w:rPr>
          <w:rFonts w:hint="default" w:ascii="Times New Roman" w:hAnsi="Times New Roman" w:eastAsia="Calibri" w:cs="Times New Roman"/>
          <w:b/>
          <w:sz w:val="24"/>
          <w:szCs w:val="24"/>
          <w:u w:val="single"/>
        </w:rPr>
        <w:t xml:space="preserve">Expliquez </w:t>
      </w:r>
      <w:r>
        <w:rPr>
          <w:rFonts w:hint="default" w:ascii="Times New Roman" w:hAnsi="Times New Roman" w:eastAsia="Calibri" w:cs="Times New Roman"/>
          <w:b/>
          <w:sz w:val="24"/>
          <w:szCs w:val="24"/>
        </w:rPr>
        <w:t>correctement les termes suivants:</w:t>
      </w:r>
    </w:p>
    <w:p>
      <w:pPr>
        <w:spacing w:line="360" w:lineRule="auto"/>
        <w:ind w:firstLine="280"/>
        <w:jc w:val="both"/>
        <w:rPr>
          <w:rFonts w:hint="default" w:ascii="Times New Roman" w:hAnsi="Times New Roman" w:cs="Times New Roman"/>
          <w:b/>
          <w:sz w:val="24"/>
          <w:szCs w:val="24"/>
        </w:rPr>
      </w:pPr>
      <w:r>
        <w:rPr>
          <w:rFonts w:hint="default" w:ascii="Times New Roman" w:hAnsi="Times New Roman" w:cs="Times New Roman"/>
          <w:b/>
          <w:sz w:val="24"/>
          <w:szCs w:val="24"/>
        </w:rPr>
        <w:t>- Essaimage :</w:t>
      </w:r>
      <w:r>
        <w:rPr>
          <w:rFonts w:hint="default" w:ascii="Times New Roman" w:hAnsi="Times New Roman" w:cs="Times New Roman"/>
          <w:sz w:val="24"/>
          <w:szCs w:val="24"/>
        </w:rPr>
        <w:t xml:space="preserve"> L’essaimage est une pratique par laquelle une entreprise favorise le départ de certains de ses salariés, notamment lors des compressions d’effectifs (licenciements), et les aide à créer leurs propres entreprises.    </w:t>
      </w:r>
    </w:p>
    <w:p>
      <w:pPr>
        <w:spacing w:line="360" w:lineRule="auto"/>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 - Intrapreneuriat : </w:t>
      </w:r>
      <w:r>
        <w:rPr>
          <w:rFonts w:hint="default" w:ascii="Times New Roman" w:hAnsi="Times New Roman" w:cs="Times New Roman"/>
          <w:sz w:val="24"/>
          <w:szCs w:val="24"/>
        </w:rPr>
        <w:t xml:space="preserve">c’est de l’entrepreneuriat au sein d’une entreprise déjà existante ; cela peut prendre la forme de conception de nouveaux projets ou de nouvelles activités ou encore le développement des activités actuelles. Cela peut correspondre à la croissance d’une entreprise déjà en activité. </w:t>
      </w:r>
    </w:p>
    <w:p>
      <w:pPr>
        <w:spacing w:line="360" w:lineRule="auto"/>
        <w:jc w:val="both"/>
        <w:rPr>
          <w:rFonts w:hint="default" w:ascii="Times New Roman" w:hAnsi="Times New Roman" w:cs="Times New Roman"/>
          <w:b w:val="0"/>
          <w:bCs/>
          <w:sz w:val="24"/>
          <w:szCs w:val="24"/>
          <w:lang w:val="fr-FR"/>
        </w:rPr>
      </w:pP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fr-FR"/>
        </w:rPr>
        <w:t>- Emergence organisationnelle:</w:t>
      </w:r>
      <w:r>
        <w:rPr>
          <w:rFonts w:hint="default" w:ascii="Times New Roman" w:hAnsi="Times New Roman" w:cs="Times New Roman"/>
          <w:b w:val="0"/>
          <w:bCs/>
          <w:sz w:val="24"/>
          <w:szCs w:val="24"/>
          <w:lang w:val="fr-FR"/>
        </w:rPr>
        <w:t xml:space="preserve"> le concept est issu de la théorie des organisations en sociologie des organisations. Il fait référence au processus (cheminement) d’organisation qui mène à la naissance d’une nouvelle organisation (ex: entreprise). Elle a lieu avant que l’organisation n’existe; ce n’est pas une nouvelle entité mais le processus dont le résultat est nouvelle entité. L’expression peut être traduite par les expressions «formation d’organisation», «création d’organisation», etc.</w:t>
      </w:r>
    </w:p>
    <w:p>
      <w:pPr>
        <w:spacing w:line="360" w:lineRule="auto"/>
        <w:jc w:val="both"/>
        <w:rPr>
          <w:rFonts w:hint="default" w:ascii="Times New Roman" w:hAnsi="Times New Roman" w:cs="Times New Roman"/>
          <w:b w:val="0"/>
          <w:bCs/>
          <w:sz w:val="24"/>
          <w:szCs w:val="24"/>
          <w:lang w:val="fr-FR"/>
        </w:rPr>
      </w:pPr>
      <w:r>
        <w:rPr>
          <w:rFonts w:hint="default" w:ascii="Times New Roman" w:hAnsi="Times New Roman" w:cs="Times New Roman"/>
          <w:b w:val="0"/>
          <w:bCs/>
          <w:sz w:val="24"/>
          <w:szCs w:val="24"/>
          <w:lang w:val="fr-FR"/>
        </w:rPr>
        <w:t>L’analyse de l’entrepreneuriat sous cet angle (approche) amène le chercheur à devoir répondre à ces questions: comment naissent les organisations? Pourquoi? Où? Quand? Qui était impliqué?</w:t>
      </w:r>
    </w:p>
    <w:p>
      <w:pPr>
        <w:spacing w:line="360" w:lineRule="auto"/>
        <w:jc w:val="both"/>
        <w:rPr>
          <w:rFonts w:hint="default" w:ascii="Times New Roman" w:hAnsi="Times New Roman" w:eastAsia="Calibri" w:cs="Times New Roman"/>
          <w:b/>
          <w:sz w:val="24"/>
          <w:szCs w:val="24"/>
        </w:rPr>
      </w:pPr>
    </w:p>
    <w:p>
      <w:pPr>
        <w:numPr>
          <w:ilvl w:val="0"/>
          <w:numId w:val="1"/>
        </w:numPr>
        <w:spacing w:line="36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val="0"/>
          <w:bCs/>
          <w:sz w:val="24"/>
          <w:szCs w:val="24"/>
          <w:lang w:val="fr-FR"/>
        </w:rPr>
        <w:t>(6 pts)</w:t>
      </w:r>
      <w:r>
        <w:rPr>
          <w:rFonts w:hint="default" w:ascii="Times New Roman" w:hAnsi="Times New Roman" w:eastAsia="Calibri" w:cs="Times New Roman"/>
          <w:b/>
          <w:sz w:val="24"/>
          <w:szCs w:val="24"/>
          <w:lang w:val="fr-FR"/>
        </w:rPr>
        <w:t xml:space="preserve"> </w:t>
      </w:r>
      <w:r>
        <w:rPr>
          <w:rFonts w:hint="default" w:ascii="Times New Roman" w:hAnsi="Times New Roman" w:eastAsia="Calibri" w:cs="Times New Roman"/>
          <w:b/>
          <w:sz w:val="24"/>
          <w:szCs w:val="24"/>
        </w:rPr>
        <w:t>Comment différenciez-vous entre "</w:t>
      </w:r>
      <w:r>
        <w:rPr>
          <w:rFonts w:hint="default" w:ascii="Times New Roman" w:hAnsi="Times New Roman" w:eastAsia="Calibri" w:cs="Times New Roman"/>
          <w:bCs/>
          <w:i/>
          <w:iCs/>
          <w:sz w:val="24"/>
          <w:szCs w:val="24"/>
        </w:rPr>
        <w:t>entrepreneuriat d'opportunité</w:t>
      </w:r>
      <w:r>
        <w:rPr>
          <w:rFonts w:hint="default" w:ascii="Times New Roman" w:hAnsi="Times New Roman" w:eastAsia="Calibri" w:cs="Times New Roman"/>
          <w:b/>
          <w:sz w:val="24"/>
          <w:szCs w:val="24"/>
        </w:rPr>
        <w:t xml:space="preserve">" et </w:t>
      </w:r>
      <w:r>
        <w:rPr>
          <w:rFonts w:hint="default" w:ascii="Times New Roman" w:hAnsi="Times New Roman" w:eastAsia="Calibri" w:cs="Times New Roman"/>
          <w:b/>
          <w:sz w:val="24"/>
          <w:szCs w:val="24"/>
        </w:rPr>
        <w:tab/>
      </w:r>
      <w:r>
        <w:rPr>
          <w:rFonts w:hint="default" w:ascii="Times New Roman" w:hAnsi="Times New Roman" w:eastAsia="Calibri" w:cs="Times New Roman"/>
          <w:b/>
          <w:sz w:val="24"/>
          <w:szCs w:val="24"/>
          <w:lang w:val="fr-FR"/>
        </w:rPr>
        <w:t xml:space="preserve">     </w:t>
      </w:r>
      <w:r>
        <w:rPr>
          <w:rFonts w:hint="default" w:ascii="Times New Roman" w:hAnsi="Times New Roman" w:eastAsia="Calibri" w:cs="Times New Roman"/>
          <w:b/>
          <w:sz w:val="24"/>
          <w:szCs w:val="24"/>
        </w:rPr>
        <w:t>"</w:t>
      </w:r>
      <w:r>
        <w:rPr>
          <w:rFonts w:hint="default" w:ascii="Times New Roman" w:hAnsi="Times New Roman" w:eastAsia="Calibri" w:cs="Times New Roman"/>
          <w:b/>
          <w:i/>
          <w:iCs/>
          <w:sz w:val="24"/>
          <w:szCs w:val="24"/>
        </w:rPr>
        <w:t>entrepreneuriat de nécessité</w:t>
      </w:r>
      <w:r>
        <w:rPr>
          <w:rFonts w:hint="default" w:ascii="Times New Roman" w:hAnsi="Times New Roman" w:eastAsia="Calibri" w:cs="Times New Roman"/>
          <w:b/>
          <w:sz w:val="24"/>
          <w:szCs w:val="24"/>
        </w:rPr>
        <w:t xml:space="preserve">"? </w:t>
      </w:r>
    </w:p>
    <w:p>
      <w:pPr>
        <w:numPr>
          <w:numId w:val="0"/>
        </w:numPr>
        <w:spacing w:line="360" w:lineRule="auto"/>
        <w:jc w:val="both"/>
        <w:rPr>
          <w:rFonts w:hint="default" w:ascii="Times New Roman" w:hAnsi="Times New Roman" w:eastAsia="Calibri" w:cs="Times New Roman"/>
          <w:b/>
          <w:sz w:val="28"/>
          <w:szCs w:val="28"/>
          <w:lang w:val="fr-FR"/>
        </w:rPr>
      </w:pPr>
      <w:r>
        <w:rPr>
          <w:rFonts w:hint="default" w:ascii="Times New Roman" w:hAnsi="Times New Roman" w:eastAsia="Calibri" w:cs="Times New Roman"/>
          <w:b w:val="0"/>
          <w:bCs/>
          <w:sz w:val="24"/>
          <w:szCs w:val="24"/>
          <w:lang w:val="fr-FR"/>
        </w:rPr>
        <w:t xml:space="preserve">La distinction entre les deux types d’entrepreneuriat a été introduite par le Global Entrepreneurship Monitor. Elle fait référence essentiellement à la motivation première des entrepreneurs lors de la création de leurs entreprises. Il </w:t>
      </w:r>
      <w:r>
        <w:rPr>
          <w:rFonts w:hint="default" w:ascii="Times New Roman" w:hAnsi="Times New Roman" w:eastAsia="Calibri" w:cs="Times New Roman"/>
          <w:b w:val="0"/>
          <w:bCs/>
          <w:sz w:val="28"/>
          <w:szCs w:val="28"/>
          <w:lang w:val="fr-FR"/>
        </w:rPr>
        <w:t xml:space="preserve">y a grosso modo deux grands types d’entrepreneuriat: l’entrepreneuriat d’opportunité qui correspond aux individus qui saisissent les déséquilibres des marchés pour monter des affaires et l’entrepreneuriat de nécessité qui est celui des personnes qui se trouvent dans des situations de vulnérabilité sociale et ui se lancent dans la voie de l’entrepreneuriat par nécessité (créer son propre emploi et se procurer des revenus).     </w:t>
      </w:r>
    </w:p>
    <w:p>
      <w:pPr>
        <w:spacing w:line="240" w:lineRule="auto"/>
        <w:jc w:val="both"/>
        <w:rPr>
          <w:rFonts w:hint="default" w:ascii="Times New Roman" w:hAnsi="Times New Roman" w:eastAsia="Calibri" w:cs="Times New Roman"/>
          <w:b w:val="0"/>
          <w:bCs/>
          <w:sz w:val="24"/>
          <w:szCs w:val="24"/>
        </w:rPr>
      </w:pPr>
      <w:r>
        <w:rPr>
          <w:rFonts w:hint="default" w:ascii="Times New Roman" w:hAnsi="Times New Roman" w:eastAsia="Calibri" w:cs="Times New Roman"/>
          <w:b/>
          <w:sz w:val="24"/>
          <w:szCs w:val="24"/>
        </w:rPr>
        <w:t xml:space="preserve">                                                                                 </w:t>
      </w:r>
      <w:r>
        <w:rPr>
          <w:rFonts w:hint="default" w:ascii="Times New Roman" w:hAnsi="Times New Roman" w:eastAsia="Calibri" w:cs="Times New Roman"/>
          <w:b/>
          <w:sz w:val="24"/>
          <w:szCs w:val="24"/>
          <w:lang w:val="fr-FR"/>
        </w:rPr>
        <w:t xml:space="preserve">                </w:t>
      </w:r>
      <w:bookmarkStart w:id="0" w:name="_GoBack"/>
      <w:bookmarkEnd w:id="0"/>
    </w:p>
    <w:p>
      <w:pPr>
        <w:spacing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val="0"/>
          <w:bCs/>
          <w:sz w:val="24"/>
          <w:szCs w:val="24"/>
          <w:lang w:val="fr-FR"/>
        </w:rPr>
        <w:t xml:space="preserve">                                                                   Le chargé du module: Dr TALEB N.</w:t>
      </w:r>
      <w:r>
        <w:rPr>
          <w:rFonts w:hint="default" w:ascii="Times New Roman" w:hAnsi="Times New Roman" w:eastAsia="Calibri" w:cs="Times New Roman"/>
          <w:b w:val="0"/>
          <w:bCs/>
          <w:sz w:val="24"/>
          <w:szCs w:val="24"/>
        </w:rPr>
        <w:t xml:space="preserve">  </w:t>
      </w:r>
      <w:r>
        <w:rPr>
          <w:rFonts w:hint="default" w:ascii="Times New Roman" w:hAnsi="Times New Roman" w:eastAsia="Calibri" w:cs="Times New Roman"/>
          <w:b/>
          <w:sz w:val="24"/>
          <w:szCs w:val="24"/>
        </w:rPr>
        <w:t xml:space="preserve">  </w:t>
      </w:r>
    </w:p>
    <w:p>
      <w:pPr>
        <w:jc w:val="both"/>
        <w:rPr>
          <w:rFonts w:hint="default" w:ascii="Times New Roman" w:hAnsi="Times New Roman" w:cs="Times New Roman"/>
          <w:sz w:val="24"/>
          <w:szCs w:val="24"/>
        </w:rPr>
      </w:pPr>
    </w:p>
    <w:sectPr>
      <w:footerReference r:id="rId5" w:type="default"/>
      <w:pgSz w:w="11906" w:h="16838"/>
      <w:pgMar w:top="1417" w:right="1417" w:bottom="1417" w:left="1417"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ABF2B"/>
    <w:multiLevelType w:val="singleLevel"/>
    <w:tmpl w:val="101ABF2B"/>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B9415D"/>
    <w:rsid w:val="000A7C69"/>
    <w:rsid w:val="001250EF"/>
    <w:rsid w:val="00546346"/>
    <w:rsid w:val="00A31F5B"/>
    <w:rsid w:val="00B9415D"/>
    <w:rsid w:val="00CE5F63"/>
    <w:rsid w:val="1B683899"/>
    <w:rsid w:val="417F46A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Arial"/>
      <w:sz w:val="22"/>
      <w:szCs w:val="22"/>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162</Words>
  <Characters>891</Characters>
  <Lines>7</Lines>
  <Paragraphs>2</Paragraphs>
  <TotalTime>84</TotalTime>
  <ScaleCrop>false</ScaleCrop>
  <LinksUpToDate>false</LinksUpToDate>
  <CharactersWithSpaces>1051</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2022-05-30T20:46:00Z</dcterms:created>
  <dc:creator>hp</dc:creator>
  <cp:lastModifiedBy>hp</cp:lastModifiedBy>
  <cp:lastPrinted>2022-06-04T10:14:06Z</cp:lastPrinted>
  <dcterms:modified xsi:type="dcterms:W3CDTF">2022-06-04T10:15:49Z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4CC1F3DF3D6242B78147518456B2BD0A</vt:lpwstr>
  </property>
</Properties>
</file>