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D97FD8" w:rsidTr="00D97FD8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FD8" w:rsidRDefault="00D97FD8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D97FD8" w:rsidRDefault="00D97FD8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D97FD8" w:rsidRDefault="00D97FD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97FD8" w:rsidRDefault="00D97FD8" w:rsidP="00F57A5E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 w:rsidR="00F57A5E">
              <w:rPr>
                <w:b/>
                <w:bCs/>
                <w:noProof/>
                <w:sz w:val="28"/>
                <w:szCs w:val="28"/>
                <w:lang w:eastAsia="fr-FR"/>
              </w:rPr>
              <w:t>"</w:t>
            </w:r>
            <w:r>
              <w:rPr>
                <w:b/>
                <w:bCs/>
                <w:noProof/>
                <w:sz w:val="28"/>
                <w:szCs w:val="28"/>
                <w:lang w:eastAsia="fr-FR"/>
              </w:rPr>
              <w:t>TP Chimie1</w:t>
            </w:r>
            <w:r w:rsidR="00F57A5E">
              <w:rPr>
                <w:b/>
                <w:bCs/>
                <w:noProof/>
                <w:sz w:val="28"/>
                <w:szCs w:val="28"/>
                <w:lang w:eastAsia="fr-FR"/>
              </w:rPr>
              <w:t>"</w:t>
            </w:r>
          </w:p>
          <w:p w:rsidR="0084243A" w:rsidRDefault="0084243A" w:rsidP="00F57A5E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3C2D5D">
              <w:rPr>
                <w:b/>
                <w:bCs/>
                <w:noProof/>
                <w:sz w:val="28"/>
                <w:szCs w:val="28"/>
                <w:lang w:eastAsia="fr-FR"/>
              </w:rPr>
              <w:t>M112</w:t>
            </w:r>
          </w:p>
          <w:p w:rsidR="00D97FD8" w:rsidRDefault="00D97FD8" w:rsidP="00F57A5E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semestriel </w:t>
            </w:r>
            <w:r w:rsidR="00F57A5E">
              <w:rPr>
                <w:noProof/>
                <w:sz w:val="24"/>
                <w:szCs w:val="24"/>
                <w:lang w:eastAsia="fr-FR"/>
              </w:rPr>
              <w:t>22</w:t>
            </w:r>
            <w:r>
              <w:rPr>
                <w:noProof/>
                <w:sz w:val="24"/>
                <w:szCs w:val="24"/>
                <w:lang w:eastAsia="fr-FR"/>
              </w:rPr>
              <w:t>h30min</w:t>
            </w:r>
          </w:p>
          <w:p w:rsidR="00D97FD8" w:rsidRDefault="00D97FD8" w:rsidP="00F57A5E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hebdomadaire </w:t>
            </w:r>
            <w:r w:rsidR="00F57A5E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h30min</w:t>
            </w:r>
          </w:p>
          <w:p w:rsidR="00D97FD8" w:rsidRDefault="00D97FD8" w:rsidP="00F57A5E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(1h30min T</w:t>
            </w:r>
            <w:r w:rsidR="00F57A5E">
              <w:rPr>
                <w:noProof/>
                <w:sz w:val="24"/>
                <w:szCs w:val="24"/>
                <w:lang w:eastAsia="fr-FR"/>
              </w:rPr>
              <w:t>P</w:t>
            </w:r>
            <w:r>
              <w:rPr>
                <w:noProof/>
                <w:sz w:val="24"/>
                <w:szCs w:val="24"/>
                <w:lang w:eastAsia="fr-FR"/>
              </w:rPr>
              <w:t>)</w:t>
            </w:r>
          </w:p>
          <w:p w:rsidR="00D97FD8" w:rsidRDefault="00F57A5E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Semestre 1 </w:t>
            </w:r>
            <w:r w:rsidR="00D97FD8">
              <w:rPr>
                <w:noProof/>
                <w:sz w:val="24"/>
                <w:szCs w:val="24"/>
                <w:lang w:eastAsia="fr-FR"/>
              </w:rPr>
              <w:t>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97FD8" w:rsidRDefault="00D97FD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D97FD8" w:rsidTr="00D97FD8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D97FD8" w:rsidRDefault="00D97FD8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D97FD8" w:rsidRDefault="00D97FD8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97FD8" w:rsidRDefault="00D97FD8" w:rsidP="00F57A5E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F57A5E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F57A5E">
              <w:rPr>
                <w:noProof/>
                <w:sz w:val="20"/>
                <w:szCs w:val="20"/>
                <w:lang w:eastAsia="fr-FR"/>
              </w:rPr>
              <w:t>1</w:t>
            </w:r>
          </w:p>
          <w:p w:rsidR="00D97FD8" w:rsidRDefault="00D97FD8" w:rsidP="00F57A5E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F57A5E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F57A5E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F57A5E">
              <w:rPr>
                <w:noProof/>
                <w:sz w:val="20"/>
                <w:szCs w:val="20"/>
                <w:lang w:eastAsia="fr-FR"/>
              </w:rPr>
              <w:t>2</w:t>
            </w:r>
          </w:p>
        </w:tc>
      </w:tr>
    </w:tbl>
    <w:p w:rsidR="00D97FD8" w:rsidRDefault="00D97FD8" w:rsidP="00D97FD8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D97FD8" w:rsidTr="0084243A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97FD8" w:rsidRDefault="00D97FD8" w:rsidP="006E1215">
            <w:pPr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A057AB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97FD8" w:rsidRDefault="00D97FD8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F57A5E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D97FD8" w:rsidRPr="0084243A" w:rsidTr="0084243A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FD8" w:rsidRPr="0084243A" w:rsidRDefault="00D97FD8" w:rsidP="00D97FD8">
            <w:pPr>
              <w:pStyle w:val="Paragraphedeliste"/>
              <w:numPr>
                <w:ilvl w:val="0"/>
                <w:numId w:val="2"/>
              </w:numPr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  <w:t>La sécurité au laboratoire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Notions de danger et de risque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Règles générales de sécurité,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Sécurité au laboratoire de chimie,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Pictogrammes, stockage des produits chimiques,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Elimination des déchets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Premiers secours.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2"/>
              </w:numPr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  <w:t>Préparation des solutions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2"/>
              </w:numPr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  <w:t xml:space="preserve">Dosage </w:t>
            </w:r>
            <w:proofErr w:type="spellStart"/>
            <w:r w:rsidRPr="0084243A"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  <w:t>acidobasique</w:t>
            </w:r>
            <w:proofErr w:type="spellEnd"/>
            <w:r w:rsidRPr="0084243A"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  <w:t>: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Acide fort, base forte.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Acide faible base forte.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2"/>
              </w:numPr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</w:pPr>
            <w:proofErr w:type="spellStart"/>
            <w:r w:rsidRPr="0084243A"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  <w:t>Iodométrie</w:t>
            </w:r>
            <w:proofErr w:type="spellEnd"/>
            <w:r w:rsidRPr="0084243A"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  <w:t> :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Eléments théoriques sur l’oxydoréduction :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bookmarkStart w:id="0" w:name="_GoBack"/>
            <w:bookmarkEnd w:id="0"/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Titrage d’une solution aqueuse d’iode par une solution aqueuse de thiosulfate de sodium.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2"/>
              </w:numPr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  <w:t>Manganimétrie :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Dosage de l’ion permanganate en milieu acide par une solution d’acide oxalique.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3"/>
              </w:numPr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i w:val="0"/>
                <w:iCs w:val="0"/>
                <w:sz w:val="24"/>
                <w:szCs w:val="24"/>
              </w:rPr>
              <w:t>Dosage en retour d’une solution de bichromate de potassium à l’aide d’une solution aqueuse de sel ferreux de titre connu.</w:t>
            </w:r>
          </w:p>
          <w:p w:rsidR="00D97FD8" w:rsidRPr="0084243A" w:rsidRDefault="00D97FD8" w:rsidP="00D97FD8">
            <w:pPr>
              <w:pStyle w:val="Paragraphedeliste"/>
              <w:numPr>
                <w:ilvl w:val="0"/>
                <w:numId w:val="2"/>
              </w:numPr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</w:pPr>
            <w:r w:rsidRPr="0084243A">
              <w:rPr>
                <w:rStyle w:val="Accentuation"/>
                <w:rFonts w:cstheme="majorBidi"/>
                <w:b/>
                <w:bCs/>
                <w:i w:val="0"/>
                <w:iCs w:val="0"/>
                <w:sz w:val="24"/>
                <w:szCs w:val="24"/>
              </w:rPr>
              <w:t>Construction des édifices moléculaires</w:t>
            </w:r>
          </w:p>
          <w:p w:rsidR="00D97FD8" w:rsidRPr="0084243A" w:rsidRDefault="00D97FD8">
            <w:pPr>
              <w:spacing w:after="0"/>
              <w:jc w:val="both"/>
              <w:rPr>
                <w:sz w:val="24"/>
                <w:szCs w:val="24"/>
              </w:rPr>
            </w:pPr>
          </w:p>
          <w:p w:rsidR="00D97FD8" w:rsidRPr="0084243A" w:rsidRDefault="00D97FD8">
            <w:pPr>
              <w:spacing w:after="0"/>
              <w:jc w:val="both"/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FD8" w:rsidRPr="0084243A" w:rsidRDefault="00D97FD8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  <w:p w:rsidR="00D97FD8" w:rsidRPr="0084243A" w:rsidRDefault="00BC6884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84243A">
              <w:rPr>
                <w:noProof/>
                <w:sz w:val="24"/>
                <w:szCs w:val="24"/>
                <w:lang w:eastAsia="fr-FR"/>
              </w:rPr>
              <w:t>15</w:t>
            </w:r>
          </w:p>
        </w:tc>
      </w:tr>
    </w:tbl>
    <w:p w:rsidR="004B4F8A" w:rsidRPr="0084243A" w:rsidRDefault="004B4F8A"/>
    <w:sectPr w:rsidR="004B4F8A" w:rsidRPr="0084243A" w:rsidSect="004B4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4257B"/>
    <w:multiLevelType w:val="hybridMultilevel"/>
    <w:tmpl w:val="6360D508"/>
    <w:lvl w:ilvl="0" w:tplc="0226BE7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2F0D"/>
    <w:multiLevelType w:val="hybridMultilevel"/>
    <w:tmpl w:val="D78233EA"/>
    <w:lvl w:ilvl="0" w:tplc="E35CCA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8F4594"/>
    <w:multiLevelType w:val="hybridMultilevel"/>
    <w:tmpl w:val="EF22A65E"/>
    <w:lvl w:ilvl="0" w:tplc="B78A9754">
      <w:start w:val="1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97FD8"/>
    <w:rsid w:val="000558EE"/>
    <w:rsid w:val="002B1C21"/>
    <w:rsid w:val="003C2D5D"/>
    <w:rsid w:val="004B4F8A"/>
    <w:rsid w:val="00626199"/>
    <w:rsid w:val="006E1215"/>
    <w:rsid w:val="006F585F"/>
    <w:rsid w:val="0084243A"/>
    <w:rsid w:val="00A057AB"/>
    <w:rsid w:val="00BC6884"/>
    <w:rsid w:val="00D37A24"/>
    <w:rsid w:val="00D97FD8"/>
    <w:rsid w:val="00F5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F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7FD8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D97F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828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2013-07-20T16:13:00Z</dcterms:created>
  <dcterms:modified xsi:type="dcterms:W3CDTF">2013-08-19T08:03:00Z</dcterms:modified>
</cp:coreProperties>
</file>