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787" w:rsidRDefault="008549CB" w:rsidP="008549CB">
      <w:pPr>
        <w:jc w:val="center"/>
        <w:rPr>
          <w:rStyle w:val="hgkelc"/>
          <w:rFonts w:asciiTheme="majorBidi" w:hAnsiTheme="majorBidi" w:cstheme="majorBidi"/>
          <w:b/>
          <w:bCs/>
          <w:sz w:val="24"/>
          <w:szCs w:val="24"/>
          <w:u w:val="single"/>
        </w:rPr>
      </w:pPr>
      <w:r w:rsidRPr="00232F9D">
        <w:rPr>
          <w:rStyle w:val="hgkelc"/>
          <w:rFonts w:asciiTheme="majorBidi" w:hAnsiTheme="majorBidi" w:cstheme="majorBidi"/>
          <w:b/>
          <w:bCs/>
          <w:sz w:val="24"/>
          <w:szCs w:val="24"/>
          <w:u w:val="single"/>
        </w:rPr>
        <w:t>Corrigé type</w:t>
      </w:r>
    </w:p>
    <w:p w:rsidR="00305D39" w:rsidRPr="00305D39" w:rsidRDefault="00305D39" w:rsidP="00305D39">
      <w:pPr>
        <w:contextualSpacing/>
        <w:jc w:val="both"/>
        <w:rPr>
          <w:rFonts w:asciiTheme="majorBidi" w:hAnsiTheme="majorBidi" w:cstheme="majorBidi"/>
          <w:b/>
          <w:bCs/>
          <w:sz w:val="20"/>
          <w:szCs w:val="20"/>
          <w:u w:val="single"/>
        </w:rPr>
      </w:pPr>
      <w:r>
        <w:rPr>
          <w:rFonts w:asciiTheme="majorBidi" w:hAnsiTheme="majorBidi" w:cstheme="majorBidi"/>
          <w:b/>
          <w:bCs/>
          <w:sz w:val="20"/>
          <w:szCs w:val="20"/>
          <w:u w:val="single"/>
        </w:rPr>
        <w:t>Réponse 1</w:t>
      </w:r>
    </w:p>
    <w:p w:rsidR="00716190" w:rsidRPr="00716190" w:rsidRDefault="000D669E" w:rsidP="00716190">
      <w:pPr>
        <w:contextualSpacing/>
        <w:jc w:val="both"/>
        <w:rPr>
          <w:rFonts w:asciiTheme="majorBidi" w:hAnsiTheme="majorBidi" w:cstheme="majorBidi"/>
          <w:b/>
          <w:bCs/>
          <w:sz w:val="20"/>
          <w:szCs w:val="20"/>
          <w:u w:val="single"/>
        </w:rPr>
      </w:pPr>
      <w:r>
        <w:rPr>
          <w:rFonts w:asciiTheme="majorBidi" w:hAnsiTheme="majorBidi" w:cstheme="majorBidi"/>
          <w:b/>
          <w:bCs/>
          <w:sz w:val="20"/>
          <w:szCs w:val="20"/>
        </w:rPr>
        <w:t xml:space="preserve"> </w:t>
      </w:r>
      <w:r w:rsidR="00716190" w:rsidRPr="00716190">
        <w:rPr>
          <w:rFonts w:asciiTheme="majorBidi" w:hAnsiTheme="majorBidi" w:cstheme="majorBidi"/>
          <w:b/>
          <w:bCs/>
          <w:sz w:val="20"/>
          <w:szCs w:val="20"/>
        </w:rPr>
        <w:t>Définition des concepts « Didactique » et « Pédagogie » </w:t>
      </w:r>
    </w:p>
    <w:p w:rsidR="000D669E" w:rsidRDefault="00716190" w:rsidP="000D669E">
      <w:pPr>
        <w:contextualSpacing/>
        <w:jc w:val="both"/>
        <w:rPr>
          <w:rFonts w:asciiTheme="majorBidi" w:hAnsiTheme="majorBidi" w:cstheme="majorBidi"/>
          <w:sz w:val="20"/>
          <w:szCs w:val="20"/>
        </w:rPr>
      </w:pPr>
      <w:r w:rsidRPr="00716190">
        <w:rPr>
          <w:rFonts w:asciiTheme="majorBidi" w:hAnsiTheme="majorBidi" w:cstheme="majorBidi"/>
          <w:b/>
          <w:bCs/>
          <w:sz w:val="20"/>
          <w:szCs w:val="20"/>
        </w:rPr>
        <w:t>La didactique :</w:t>
      </w:r>
      <w:r w:rsidRPr="00716190">
        <w:rPr>
          <w:rFonts w:asciiTheme="majorBidi" w:hAnsiTheme="majorBidi" w:cstheme="majorBidi"/>
          <w:sz w:val="20"/>
          <w:szCs w:val="20"/>
        </w:rPr>
        <w:t xml:space="preserve"> est une discipline qui s’intéresse aux conditions et aux modalités d’appropriation des savoirs disciplinaires. Elle  porte aussi sur le choix des méthodes et des outils à mettre en œuvre pour faciliter les conditions d’</w:t>
      </w:r>
      <w:proofErr w:type="spellStart"/>
      <w:r w:rsidRPr="00716190">
        <w:rPr>
          <w:rFonts w:asciiTheme="majorBidi" w:hAnsiTheme="majorBidi" w:cstheme="majorBidi"/>
          <w:sz w:val="20"/>
          <w:szCs w:val="20"/>
        </w:rPr>
        <w:t>enseignabilité</w:t>
      </w:r>
      <w:proofErr w:type="spellEnd"/>
      <w:r w:rsidRPr="00716190">
        <w:rPr>
          <w:rFonts w:asciiTheme="majorBidi" w:hAnsiTheme="majorBidi" w:cstheme="majorBidi"/>
          <w:sz w:val="20"/>
          <w:szCs w:val="20"/>
        </w:rPr>
        <w:t xml:space="preserve">. </w:t>
      </w:r>
    </w:p>
    <w:p w:rsidR="000D669E" w:rsidRPr="000D669E" w:rsidRDefault="000D669E" w:rsidP="001B126A">
      <w:pPr>
        <w:contextualSpacing/>
        <w:jc w:val="both"/>
        <w:rPr>
          <w:rFonts w:asciiTheme="majorBidi" w:hAnsiTheme="majorBidi" w:cstheme="majorBidi"/>
          <w:b/>
          <w:bCs/>
          <w:sz w:val="20"/>
          <w:szCs w:val="20"/>
        </w:rPr>
      </w:pPr>
      <w:r w:rsidRPr="00716190">
        <w:rPr>
          <w:rFonts w:asciiTheme="majorBidi" w:hAnsiTheme="majorBidi" w:cstheme="majorBidi"/>
          <w:sz w:val="20"/>
          <w:szCs w:val="20"/>
        </w:rPr>
        <w:t>Le didacticien est avant tout un spécialiste de l'enseignement de sa discipline. Il s'interroge surtout sur les notions, les</w:t>
      </w:r>
      <w:r>
        <w:rPr>
          <w:rFonts w:asciiTheme="majorBidi" w:hAnsiTheme="majorBidi" w:cstheme="majorBidi"/>
          <w:sz w:val="20"/>
          <w:szCs w:val="20"/>
        </w:rPr>
        <w:t xml:space="preserve"> </w:t>
      </w:r>
      <w:r w:rsidRPr="00716190">
        <w:rPr>
          <w:rFonts w:asciiTheme="majorBidi" w:hAnsiTheme="majorBidi" w:cstheme="majorBidi"/>
          <w:sz w:val="20"/>
          <w:szCs w:val="20"/>
        </w:rPr>
        <w:t>concepts et les principes qui, dans sa discipline, devront se transformer en contenus enseignés</w:t>
      </w:r>
      <w:r w:rsidRPr="000D669E">
        <w:rPr>
          <w:rFonts w:asciiTheme="majorBidi" w:hAnsiTheme="majorBidi" w:cstheme="majorBidi"/>
          <w:b/>
          <w:bCs/>
          <w:sz w:val="20"/>
          <w:szCs w:val="20"/>
        </w:rPr>
        <w:t>.</w:t>
      </w:r>
      <w:r>
        <w:rPr>
          <w:rFonts w:asciiTheme="majorBidi" w:hAnsiTheme="majorBidi" w:cstheme="majorBidi"/>
          <w:b/>
          <w:bCs/>
          <w:sz w:val="20"/>
          <w:szCs w:val="20"/>
        </w:rPr>
        <w:t xml:space="preserve"> </w:t>
      </w:r>
      <w:r w:rsidRPr="000D669E">
        <w:rPr>
          <w:rFonts w:asciiTheme="majorBidi" w:hAnsiTheme="majorBidi" w:cstheme="majorBidi"/>
          <w:b/>
          <w:bCs/>
          <w:sz w:val="20"/>
          <w:szCs w:val="20"/>
        </w:rPr>
        <w:t>(</w:t>
      </w:r>
      <w:r w:rsidR="001B126A">
        <w:rPr>
          <w:rFonts w:asciiTheme="majorBidi" w:hAnsiTheme="majorBidi" w:cstheme="majorBidi"/>
          <w:b/>
          <w:bCs/>
          <w:sz w:val="20"/>
          <w:szCs w:val="20"/>
        </w:rPr>
        <w:t>3</w:t>
      </w:r>
      <w:r w:rsidRPr="000D669E">
        <w:rPr>
          <w:rFonts w:asciiTheme="majorBidi" w:hAnsiTheme="majorBidi" w:cstheme="majorBidi"/>
          <w:b/>
          <w:bCs/>
          <w:sz w:val="20"/>
          <w:szCs w:val="20"/>
        </w:rPr>
        <w:t xml:space="preserve"> pts)</w:t>
      </w:r>
    </w:p>
    <w:p w:rsidR="000D669E" w:rsidRPr="00716190" w:rsidRDefault="000D669E" w:rsidP="001B126A">
      <w:pPr>
        <w:contextualSpacing/>
        <w:jc w:val="both"/>
        <w:rPr>
          <w:rFonts w:asciiTheme="majorBidi" w:hAnsiTheme="majorBidi" w:cstheme="majorBidi"/>
          <w:sz w:val="20"/>
          <w:szCs w:val="20"/>
        </w:rPr>
      </w:pPr>
      <w:r w:rsidRPr="00716190">
        <w:rPr>
          <w:rFonts w:asciiTheme="majorBidi" w:hAnsiTheme="majorBidi" w:cstheme="majorBidi"/>
          <w:b/>
          <w:bCs/>
          <w:sz w:val="20"/>
          <w:szCs w:val="20"/>
        </w:rPr>
        <w:t xml:space="preserve">La pédagogie : </w:t>
      </w:r>
      <w:r w:rsidRPr="00716190">
        <w:rPr>
          <w:rFonts w:asciiTheme="majorBidi" w:hAnsiTheme="majorBidi" w:cstheme="majorBidi"/>
          <w:sz w:val="20"/>
          <w:szCs w:val="20"/>
        </w:rPr>
        <w:t>c’est une discipline très ancienne portant sur la manière dont un enseignant ou un pédagogue se comporte vis-à-vis de son apprenant en vue de lui accorder un climat propice pour un enseignement/apprentissage ou une éducation.</w:t>
      </w:r>
      <w:r w:rsidR="00FC2E40">
        <w:rPr>
          <w:rFonts w:asciiTheme="majorBidi" w:hAnsiTheme="majorBidi" w:cstheme="majorBidi"/>
          <w:sz w:val="20"/>
          <w:szCs w:val="20"/>
        </w:rPr>
        <w:t xml:space="preserve"> </w:t>
      </w:r>
      <w:r w:rsidR="001B126A">
        <w:rPr>
          <w:rFonts w:asciiTheme="majorBidi" w:hAnsiTheme="majorBidi" w:cstheme="majorBidi"/>
          <w:sz w:val="20"/>
          <w:szCs w:val="20"/>
        </w:rPr>
        <w:t xml:space="preserve">(Citer le rôle du pédagogue). </w:t>
      </w:r>
      <w:r w:rsidR="00FC2E40" w:rsidRPr="00C01210">
        <w:rPr>
          <w:rFonts w:asciiTheme="majorBidi" w:hAnsiTheme="majorBidi" w:cstheme="majorBidi"/>
          <w:b/>
          <w:bCs/>
          <w:sz w:val="20"/>
          <w:szCs w:val="20"/>
        </w:rPr>
        <w:t>(</w:t>
      </w:r>
      <w:r w:rsidR="001B126A">
        <w:rPr>
          <w:rFonts w:asciiTheme="majorBidi" w:hAnsiTheme="majorBidi" w:cstheme="majorBidi"/>
          <w:b/>
          <w:bCs/>
          <w:sz w:val="20"/>
          <w:szCs w:val="20"/>
        </w:rPr>
        <w:t>3pts</w:t>
      </w:r>
      <w:r w:rsidR="00FC2E40" w:rsidRPr="00C01210">
        <w:rPr>
          <w:rFonts w:asciiTheme="majorBidi" w:hAnsiTheme="majorBidi" w:cstheme="majorBidi"/>
          <w:b/>
          <w:bCs/>
          <w:sz w:val="20"/>
          <w:szCs w:val="20"/>
        </w:rPr>
        <w:t>)</w:t>
      </w:r>
    </w:p>
    <w:p w:rsidR="000D669E" w:rsidRDefault="000D669E" w:rsidP="000D669E">
      <w:pPr>
        <w:contextualSpacing/>
        <w:jc w:val="both"/>
        <w:rPr>
          <w:rFonts w:asciiTheme="majorBidi" w:hAnsiTheme="majorBidi" w:cstheme="majorBidi"/>
          <w:sz w:val="20"/>
          <w:szCs w:val="20"/>
        </w:rPr>
      </w:pPr>
    </w:p>
    <w:p w:rsidR="0080291F" w:rsidRDefault="000D669E" w:rsidP="0080291F">
      <w:pPr>
        <w:contextualSpacing/>
        <w:jc w:val="both"/>
        <w:rPr>
          <w:rFonts w:asciiTheme="majorBidi" w:hAnsiTheme="majorBidi" w:cstheme="majorBidi"/>
          <w:sz w:val="20"/>
          <w:szCs w:val="20"/>
        </w:rPr>
      </w:pPr>
      <w:r>
        <w:rPr>
          <w:rFonts w:asciiTheme="majorBidi" w:hAnsiTheme="majorBidi" w:cstheme="majorBidi"/>
          <w:b/>
          <w:bCs/>
          <w:sz w:val="20"/>
          <w:szCs w:val="20"/>
        </w:rPr>
        <w:t>2/ Le lien existant entre « Didactique et « Pédagogie »</w:t>
      </w:r>
      <w:r w:rsidRPr="00716190">
        <w:rPr>
          <w:rFonts w:asciiTheme="majorBidi" w:hAnsiTheme="majorBidi" w:cstheme="majorBidi"/>
          <w:b/>
          <w:bCs/>
          <w:sz w:val="20"/>
          <w:szCs w:val="20"/>
        </w:rPr>
        <w:t xml:space="preserve"> : </w:t>
      </w:r>
      <w:r w:rsidRPr="00716190">
        <w:rPr>
          <w:rFonts w:asciiTheme="majorBidi" w:hAnsiTheme="majorBidi" w:cstheme="majorBidi"/>
          <w:sz w:val="20"/>
          <w:szCs w:val="20"/>
        </w:rPr>
        <w:t>la didactique est la focalisation sur les contenus. La pédagogie, quant à elle, est la focalisation cette relation entre l’enseignant et l’apprenant</w:t>
      </w:r>
      <w:r>
        <w:rPr>
          <w:rFonts w:asciiTheme="majorBidi" w:hAnsiTheme="majorBidi" w:cstheme="majorBidi"/>
          <w:sz w:val="20"/>
          <w:szCs w:val="20"/>
        </w:rPr>
        <w:t xml:space="preserve">. </w:t>
      </w:r>
    </w:p>
    <w:p w:rsidR="00FC2E40" w:rsidRDefault="0080291F" w:rsidP="00FC2E40">
      <w:pPr>
        <w:contextualSpacing/>
        <w:jc w:val="both"/>
        <w:rPr>
          <w:rFonts w:asciiTheme="majorBidi" w:hAnsiTheme="majorBidi" w:cstheme="majorBidi"/>
          <w:sz w:val="20"/>
          <w:szCs w:val="20"/>
        </w:rPr>
      </w:pPr>
      <w:r w:rsidRPr="0080291F">
        <w:rPr>
          <w:rFonts w:asciiTheme="majorBidi" w:hAnsiTheme="majorBidi" w:cstheme="majorBidi"/>
          <w:sz w:val="20"/>
          <w:szCs w:val="20"/>
        </w:rPr>
        <w:t>Les rapports entre le savoir codifié et les</w:t>
      </w:r>
      <w:r>
        <w:rPr>
          <w:rFonts w:asciiTheme="majorBidi" w:hAnsiTheme="majorBidi" w:cstheme="majorBidi"/>
          <w:sz w:val="20"/>
          <w:szCs w:val="20"/>
        </w:rPr>
        <w:t xml:space="preserve"> </w:t>
      </w:r>
      <w:r w:rsidRPr="0080291F">
        <w:rPr>
          <w:rFonts w:asciiTheme="majorBidi" w:hAnsiTheme="majorBidi" w:cstheme="majorBidi"/>
          <w:sz w:val="20"/>
          <w:szCs w:val="20"/>
        </w:rPr>
        <w:t>connaissances des apprenants dans une discipline sont au centre des intérêts de la</w:t>
      </w:r>
      <w:r>
        <w:rPr>
          <w:rFonts w:asciiTheme="majorBidi" w:hAnsiTheme="majorBidi" w:cstheme="majorBidi"/>
          <w:sz w:val="20"/>
          <w:szCs w:val="20"/>
        </w:rPr>
        <w:t xml:space="preserve"> </w:t>
      </w:r>
      <w:r w:rsidRPr="0080291F">
        <w:rPr>
          <w:rFonts w:asciiTheme="majorBidi" w:hAnsiTheme="majorBidi" w:cstheme="majorBidi"/>
          <w:sz w:val="20"/>
          <w:szCs w:val="20"/>
        </w:rPr>
        <w:t>didactique de cette discipline. La pédagogie s’intéresse plutôt aux conditions mises en place par l’enseignant</w:t>
      </w:r>
      <w:r w:rsidR="005C558E">
        <w:rPr>
          <w:rFonts w:asciiTheme="majorBidi" w:hAnsiTheme="majorBidi" w:cstheme="majorBidi"/>
          <w:sz w:val="20"/>
          <w:szCs w:val="20"/>
        </w:rPr>
        <w:t xml:space="preserve"> </w:t>
      </w:r>
      <w:r w:rsidRPr="0080291F">
        <w:rPr>
          <w:rFonts w:asciiTheme="majorBidi" w:hAnsiTheme="majorBidi" w:cstheme="majorBidi"/>
          <w:sz w:val="20"/>
          <w:szCs w:val="20"/>
        </w:rPr>
        <w:t xml:space="preserve">pour faciliter les démarches d’enseignement et d’apprentissage. </w:t>
      </w:r>
    </w:p>
    <w:p w:rsidR="0080291F" w:rsidRPr="0080291F" w:rsidRDefault="0080291F" w:rsidP="00FC2E40">
      <w:pPr>
        <w:contextualSpacing/>
        <w:jc w:val="both"/>
        <w:rPr>
          <w:rFonts w:asciiTheme="majorBidi" w:hAnsiTheme="majorBidi" w:cstheme="majorBidi"/>
          <w:sz w:val="20"/>
          <w:szCs w:val="20"/>
        </w:rPr>
      </w:pPr>
      <w:r w:rsidRPr="0080291F">
        <w:rPr>
          <w:rFonts w:asciiTheme="majorBidi" w:hAnsiTheme="majorBidi" w:cstheme="majorBidi"/>
          <w:sz w:val="20"/>
          <w:szCs w:val="20"/>
        </w:rPr>
        <w:t>La pédagogie et la didactique s’intéressent à la pratique de l’enseignement et de</w:t>
      </w:r>
      <w:r w:rsidRPr="0080291F">
        <w:rPr>
          <w:rFonts w:asciiTheme="majorBidi" w:hAnsiTheme="majorBidi" w:cstheme="majorBidi"/>
          <w:sz w:val="20"/>
          <w:szCs w:val="20"/>
        </w:rPr>
        <w:br/>
        <w:t>l’apprentissage. Les résultats de leur recherche font des disciplines théorico- pratiques.</w:t>
      </w:r>
      <w:r w:rsidR="005C558E">
        <w:rPr>
          <w:rFonts w:asciiTheme="majorBidi" w:hAnsiTheme="majorBidi" w:cstheme="majorBidi"/>
          <w:sz w:val="20"/>
          <w:szCs w:val="20"/>
        </w:rPr>
        <w:t xml:space="preserve"> </w:t>
      </w:r>
      <w:r w:rsidRPr="0080291F">
        <w:rPr>
          <w:rFonts w:asciiTheme="majorBidi" w:hAnsiTheme="majorBidi" w:cstheme="majorBidi"/>
          <w:sz w:val="20"/>
          <w:szCs w:val="20"/>
        </w:rPr>
        <w:t>La didactique et la pédagogie sont complémentaires dans l’étude des séquences</w:t>
      </w:r>
      <w:r w:rsidR="005C558E">
        <w:rPr>
          <w:rFonts w:asciiTheme="majorBidi" w:hAnsiTheme="majorBidi" w:cstheme="majorBidi"/>
          <w:sz w:val="20"/>
          <w:szCs w:val="20"/>
        </w:rPr>
        <w:t xml:space="preserve"> </w:t>
      </w:r>
      <w:r w:rsidRPr="0080291F">
        <w:rPr>
          <w:rFonts w:asciiTheme="majorBidi" w:hAnsiTheme="majorBidi" w:cstheme="majorBidi"/>
          <w:sz w:val="20"/>
          <w:szCs w:val="20"/>
        </w:rPr>
        <w:t>d’enseignement et d’apprentissage.</w:t>
      </w:r>
      <w:r>
        <w:rPr>
          <w:rFonts w:asciiTheme="majorBidi" w:hAnsiTheme="majorBidi" w:cstheme="majorBidi"/>
          <w:sz w:val="20"/>
          <w:szCs w:val="20"/>
        </w:rPr>
        <w:t xml:space="preserve"> </w:t>
      </w:r>
      <w:r w:rsidR="00FC2E40" w:rsidRPr="00716190">
        <w:rPr>
          <w:rFonts w:asciiTheme="majorBidi" w:hAnsiTheme="majorBidi" w:cstheme="majorBidi"/>
          <w:sz w:val="20"/>
          <w:szCs w:val="20"/>
        </w:rPr>
        <w:t>Les deux</w:t>
      </w:r>
      <w:r w:rsidR="00FC2E40">
        <w:rPr>
          <w:rFonts w:asciiTheme="majorBidi" w:hAnsiTheme="majorBidi" w:cstheme="majorBidi"/>
          <w:sz w:val="20"/>
          <w:szCs w:val="20"/>
        </w:rPr>
        <w:t xml:space="preserve"> </w:t>
      </w:r>
      <w:r w:rsidR="00FC2E40" w:rsidRPr="00716190">
        <w:rPr>
          <w:rFonts w:asciiTheme="majorBidi" w:hAnsiTheme="majorBidi" w:cstheme="majorBidi"/>
          <w:sz w:val="20"/>
          <w:szCs w:val="20"/>
        </w:rPr>
        <w:t>champs s'alimentent mutuellement.</w:t>
      </w:r>
      <w:r w:rsidR="00FC2E40">
        <w:rPr>
          <w:rFonts w:asciiTheme="majorBidi" w:hAnsiTheme="majorBidi" w:cstheme="majorBidi"/>
          <w:sz w:val="20"/>
          <w:szCs w:val="20"/>
        </w:rPr>
        <w:t xml:space="preserve"> </w:t>
      </w:r>
      <w:r w:rsidRPr="0080291F">
        <w:rPr>
          <w:rFonts w:asciiTheme="majorBidi" w:hAnsiTheme="majorBidi" w:cstheme="majorBidi"/>
          <w:b/>
          <w:bCs/>
          <w:sz w:val="20"/>
          <w:szCs w:val="20"/>
        </w:rPr>
        <w:t>(3 pts)</w:t>
      </w:r>
    </w:p>
    <w:p w:rsidR="00305D39" w:rsidRPr="00305D39" w:rsidRDefault="00305D39" w:rsidP="00305D39">
      <w:pPr>
        <w:contextualSpacing/>
        <w:jc w:val="both"/>
        <w:rPr>
          <w:rFonts w:asciiTheme="majorBidi" w:hAnsiTheme="majorBidi" w:cstheme="majorBidi"/>
          <w:b/>
          <w:bCs/>
          <w:sz w:val="20"/>
          <w:szCs w:val="20"/>
          <w:u w:val="single"/>
        </w:rPr>
      </w:pPr>
      <w:r>
        <w:rPr>
          <w:rFonts w:asciiTheme="majorBidi" w:hAnsiTheme="majorBidi" w:cstheme="majorBidi"/>
          <w:b/>
          <w:bCs/>
          <w:sz w:val="20"/>
          <w:szCs w:val="20"/>
          <w:u w:val="single"/>
        </w:rPr>
        <w:t>Réponse 2</w:t>
      </w:r>
    </w:p>
    <w:p w:rsidR="0080291F" w:rsidRDefault="00830BD5" w:rsidP="000D669E">
      <w:pPr>
        <w:contextualSpacing/>
        <w:jc w:val="both"/>
        <w:rPr>
          <w:rFonts w:asciiTheme="majorBidi" w:hAnsiTheme="majorBidi" w:cstheme="majorBidi"/>
          <w:sz w:val="20"/>
          <w:szCs w:val="20"/>
        </w:rPr>
      </w:pPr>
      <w:r>
        <w:rPr>
          <w:rFonts w:asciiTheme="majorBidi" w:hAnsiTheme="majorBidi" w:cstheme="majorBidi"/>
          <w:sz w:val="20"/>
          <w:szCs w:val="20"/>
        </w:rPr>
        <w:t>Présentation  de la transposition didactique et son explication à l’aide d’exemples.</w:t>
      </w:r>
    </w:p>
    <w:p w:rsidR="00830BD5" w:rsidRDefault="00830BD5" w:rsidP="000D669E">
      <w:pPr>
        <w:contextualSpacing/>
        <w:jc w:val="both"/>
        <w:rPr>
          <w:rFonts w:asciiTheme="majorBidi" w:hAnsiTheme="majorBidi" w:cstheme="majorBidi"/>
          <w:sz w:val="20"/>
          <w:szCs w:val="20"/>
        </w:rPr>
      </w:pPr>
      <w:r w:rsidRPr="00716190">
        <w:rPr>
          <w:rFonts w:asciiTheme="majorBidi" w:hAnsiTheme="majorBidi" w:cstheme="majorBidi"/>
          <w:sz w:val="20"/>
          <w:szCs w:val="20"/>
        </w:rPr>
        <w:t xml:space="preserve">Ce processus est appelé transposition didactique. </w:t>
      </w:r>
      <w:r w:rsidRPr="00830BD5">
        <w:rPr>
          <w:rFonts w:asciiTheme="majorBidi" w:hAnsiTheme="majorBidi" w:cstheme="majorBidi"/>
          <w:b/>
          <w:bCs/>
          <w:sz w:val="20"/>
          <w:szCs w:val="20"/>
        </w:rPr>
        <w:t>(2pts)</w:t>
      </w:r>
    </w:p>
    <w:p w:rsidR="000D669E" w:rsidRPr="00716190" w:rsidRDefault="00830BD5" w:rsidP="00830BD5">
      <w:pPr>
        <w:contextualSpacing/>
        <w:jc w:val="both"/>
        <w:rPr>
          <w:rFonts w:asciiTheme="majorBidi" w:hAnsiTheme="majorBidi" w:cstheme="majorBidi"/>
          <w:sz w:val="20"/>
          <w:szCs w:val="20"/>
        </w:rPr>
      </w:pPr>
      <w:r>
        <w:rPr>
          <w:rFonts w:asciiTheme="majorBidi" w:hAnsiTheme="majorBidi" w:cstheme="majorBidi"/>
          <w:sz w:val="20"/>
          <w:szCs w:val="20"/>
        </w:rPr>
        <w:t>Le processus appelé « </w:t>
      </w:r>
      <w:r>
        <w:rPr>
          <w:rFonts w:asciiTheme="majorBidi" w:hAnsiTheme="majorBidi" w:cstheme="majorBidi"/>
          <w:b/>
          <w:bCs/>
          <w:sz w:val="20"/>
          <w:szCs w:val="20"/>
        </w:rPr>
        <w:t xml:space="preserve">transposition didactique » </w:t>
      </w:r>
      <w:r w:rsidRPr="00830BD5">
        <w:rPr>
          <w:rFonts w:asciiTheme="majorBidi" w:hAnsiTheme="majorBidi" w:cstheme="majorBidi"/>
          <w:sz w:val="20"/>
          <w:szCs w:val="20"/>
        </w:rPr>
        <w:t>consiste</w:t>
      </w:r>
      <w:r>
        <w:rPr>
          <w:rFonts w:asciiTheme="majorBidi" w:hAnsiTheme="majorBidi" w:cstheme="majorBidi"/>
          <w:b/>
          <w:bCs/>
          <w:sz w:val="20"/>
          <w:szCs w:val="20"/>
        </w:rPr>
        <w:t xml:space="preserve"> </w:t>
      </w:r>
      <w:r w:rsidRPr="00716190">
        <w:rPr>
          <w:rFonts w:asciiTheme="majorBidi" w:hAnsiTheme="majorBidi" w:cstheme="majorBidi"/>
          <w:sz w:val="20"/>
          <w:szCs w:val="20"/>
        </w:rPr>
        <w:t>à prendre le contenu d'un champ de savoir savant (de référence) et à le</w:t>
      </w:r>
      <w:r>
        <w:rPr>
          <w:rFonts w:asciiTheme="majorBidi" w:hAnsiTheme="majorBidi" w:cstheme="majorBidi"/>
          <w:sz w:val="20"/>
          <w:szCs w:val="20"/>
        </w:rPr>
        <w:t xml:space="preserve"> </w:t>
      </w:r>
      <w:r w:rsidRPr="00716190">
        <w:rPr>
          <w:rFonts w:asciiTheme="majorBidi" w:hAnsiTheme="majorBidi" w:cstheme="majorBidi"/>
          <w:sz w:val="20"/>
          <w:szCs w:val="20"/>
        </w:rPr>
        <w:t>mettre en forme (organiser, médiatiser) pour le transformer en un champ de savoir enseignable dans le but de maximiser les</w:t>
      </w:r>
      <w:r>
        <w:rPr>
          <w:rFonts w:asciiTheme="majorBidi" w:hAnsiTheme="majorBidi" w:cstheme="majorBidi"/>
          <w:sz w:val="20"/>
          <w:szCs w:val="20"/>
        </w:rPr>
        <w:t xml:space="preserve"> </w:t>
      </w:r>
      <w:r w:rsidRPr="00716190">
        <w:rPr>
          <w:rFonts w:asciiTheme="majorBidi" w:hAnsiTheme="majorBidi" w:cstheme="majorBidi"/>
          <w:sz w:val="20"/>
          <w:szCs w:val="20"/>
        </w:rPr>
        <w:t>apprentissages scolaires. Ces connaissances se présentent sous la forme de programmes d'études scolaires et de cours</w:t>
      </w:r>
      <w:r>
        <w:rPr>
          <w:rFonts w:asciiTheme="majorBidi" w:hAnsiTheme="majorBidi" w:cstheme="majorBidi"/>
          <w:sz w:val="20"/>
          <w:szCs w:val="20"/>
        </w:rPr>
        <w:t xml:space="preserve"> </w:t>
      </w:r>
      <w:r w:rsidRPr="00716190">
        <w:rPr>
          <w:rFonts w:asciiTheme="majorBidi" w:hAnsiTheme="majorBidi" w:cstheme="majorBidi"/>
          <w:sz w:val="20"/>
          <w:szCs w:val="20"/>
        </w:rPr>
        <w:t>sanctionnés par un diplôme ou une attestation d'études.</w:t>
      </w:r>
      <w:r>
        <w:rPr>
          <w:rFonts w:asciiTheme="majorBidi" w:hAnsiTheme="majorBidi" w:cstheme="majorBidi"/>
          <w:sz w:val="20"/>
          <w:szCs w:val="20"/>
        </w:rPr>
        <w:t xml:space="preserve">  </w:t>
      </w:r>
      <w:r w:rsidR="000D669E" w:rsidRPr="00716190">
        <w:rPr>
          <w:rFonts w:asciiTheme="majorBidi" w:hAnsiTheme="majorBidi" w:cstheme="majorBidi"/>
          <w:sz w:val="20"/>
          <w:szCs w:val="20"/>
        </w:rPr>
        <w:t>(</w:t>
      </w:r>
      <w:r>
        <w:rPr>
          <w:rFonts w:asciiTheme="majorBidi" w:hAnsiTheme="majorBidi" w:cstheme="majorBidi"/>
          <w:b/>
          <w:bCs/>
          <w:sz w:val="20"/>
          <w:szCs w:val="20"/>
        </w:rPr>
        <w:t xml:space="preserve">3 </w:t>
      </w:r>
      <w:r w:rsidR="000D669E" w:rsidRPr="00716190">
        <w:rPr>
          <w:rFonts w:asciiTheme="majorBidi" w:hAnsiTheme="majorBidi" w:cstheme="majorBidi"/>
          <w:b/>
          <w:bCs/>
          <w:sz w:val="20"/>
          <w:szCs w:val="20"/>
        </w:rPr>
        <w:t>pts)</w:t>
      </w:r>
    </w:p>
    <w:p w:rsidR="000D669E" w:rsidRPr="00716190" w:rsidRDefault="000D669E" w:rsidP="001B126A">
      <w:pPr>
        <w:contextualSpacing/>
        <w:jc w:val="both"/>
        <w:rPr>
          <w:rFonts w:asciiTheme="majorBidi" w:hAnsiTheme="majorBidi" w:cstheme="majorBidi"/>
          <w:sz w:val="20"/>
          <w:szCs w:val="20"/>
        </w:rPr>
      </w:pPr>
      <w:r w:rsidRPr="00716190">
        <w:rPr>
          <w:rFonts w:asciiTheme="majorBidi" w:hAnsiTheme="majorBidi" w:cstheme="majorBidi"/>
          <w:sz w:val="20"/>
          <w:szCs w:val="20"/>
        </w:rPr>
        <w:t>-L’importance de la transposition didactique réside en ce que le savoir savant (scientifique) ne peut être dispensé en classe tel qu’il émane de la recherche, il n’est transférable tel quel, mais il est transposable. (</w:t>
      </w:r>
      <w:r w:rsidR="001B126A">
        <w:rPr>
          <w:rFonts w:asciiTheme="majorBidi" w:hAnsiTheme="majorBidi" w:cstheme="majorBidi"/>
          <w:b/>
          <w:bCs/>
          <w:sz w:val="20"/>
          <w:szCs w:val="20"/>
        </w:rPr>
        <w:t>3</w:t>
      </w:r>
      <w:r w:rsidRPr="00716190">
        <w:rPr>
          <w:rFonts w:asciiTheme="majorBidi" w:hAnsiTheme="majorBidi" w:cstheme="majorBidi"/>
          <w:b/>
          <w:bCs/>
          <w:sz w:val="20"/>
          <w:szCs w:val="20"/>
        </w:rPr>
        <w:t>pts)</w:t>
      </w:r>
      <w:r w:rsidRPr="00716190">
        <w:rPr>
          <w:rFonts w:asciiTheme="majorBidi" w:hAnsiTheme="majorBidi" w:cstheme="majorBidi"/>
          <w:sz w:val="20"/>
          <w:szCs w:val="20"/>
        </w:rPr>
        <w:t xml:space="preserve"> </w:t>
      </w:r>
    </w:p>
    <w:p w:rsidR="00B9772E" w:rsidRPr="006E4257" w:rsidRDefault="001B126A" w:rsidP="006E4257">
      <w:r>
        <w:t>-Exemple du processus de transposition didactique. (2pts)</w:t>
      </w:r>
    </w:p>
    <w:sectPr w:rsidR="00B9772E" w:rsidRPr="006E4257" w:rsidSect="006E4257">
      <w:pgSz w:w="11906" w:h="16838"/>
      <w:pgMar w:top="426"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024D9"/>
    <w:multiLevelType w:val="hybridMultilevel"/>
    <w:tmpl w:val="ECD64E28"/>
    <w:lvl w:ilvl="0" w:tplc="130C066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drawingGridHorizontalSpacing w:val="110"/>
  <w:displayHorizontalDrawingGridEvery w:val="2"/>
  <w:characterSpacingControl w:val="doNotCompress"/>
  <w:compat/>
  <w:rsids>
    <w:rsidRoot w:val="00B9772E"/>
    <w:rsid w:val="000069D5"/>
    <w:rsid w:val="000D669E"/>
    <w:rsid w:val="001364FC"/>
    <w:rsid w:val="001B126A"/>
    <w:rsid w:val="00232F9D"/>
    <w:rsid w:val="002E5C85"/>
    <w:rsid w:val="00305D39"/>
    <w:rsid w:val="00535D34"/>
    <w:rsid w:val="005B53A0"/>
    <w:rsid w:val="005C558E"/>
    <w:rsid w:val="006340D8"/>
    <w:rsid w:val="006862EC"/>
    <w:rsid w:val="006E4257"/>
    <w:rsid w:val="00716190"/>
    <w:rsid w:val="0080291F"/>
    <w:rsid w:val="00830BD5"/>
    <w:rsid w:val="008549CB"/>
    <w:rsid w:val="00884155"/>
    <w:rsid w:val="0092297C"/>
    <w:rsid w:val="00967B6A"/>
    <w:rsid w:val="00974692"/>
    <w:rsid w:val="009E07DF"/>
    <w:rsid w:val="00AD2C21"/>
    <w:rsid w:val="00B05839"/>
    <w:rsid w:val="00B92787"/>
    <w:rsid w:val="00B951AD"/>
    <w:rsid w:val="00B9772E"/>
    <w:rsid w:val="00BE2A6F"/>
    <w:rsid w:val="00C01210"/>
    <w:rsid w:val="00CA7C17"/>
    <w:rsid w:val="00D16943"/>
    <w:rsid w:val="00D342BC"/>
    <w:rsid w:val="00DA75ED"/>
    <w:rsid w:val="00EE73DF"/>
    <w:rsid w:val="00F6092D"/>
    <w:rsid w:val="00FC2E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DF"/>
  </w:style>
  <w:style w:type="paragraph" w:styleId="Titre1">
    <w:name w:val="heading 1"/>
    <w:basedOn w:val="Normal"/>
    <w:next w:val="Normal"/>
    <w:link w:val="Titre1Car"/>
    <w:uiPriority w:val="9"/>
    <w:qFormat/>
    <w:rsid w:val="006E42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977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gkelc">
    <w:name w:val="hgkelc"/>
    <w:basedOn w:val="Policepardfaut"/>
    <w:rsid w:val="006E4257"/>
  </w:style>
  <w:style w:type="paragraph" w:styleId="Sansinterligne">
    <w:name w:val="No Spacing"/>
    <w:uiPriority w:val="1"/>
    <w:qFormat/>
    <w:rsid w:val="006E4257"/>
    <w:pPr>
      <w:spacing w:after="0" w:line="240" w:lineRule="auto"/>
    </w:pPr>
  </w:style>
  <w:style w:type="character" w:customStyle="1" w:styleId="Titre1Car">
    <w:name w:val="Titre 1 Car"/>
    <w:basedOn w:val="Policepardfaut"/>
    <w:link w:val="Titre1"/>
    <w:uiPriority w:val="9"/>
    <w:rsid w:val="006E4257"/>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B05839"/>
    <w:pPr>
      <w:ind w:left="720"/>
      <w:contextualSpacing/>
    </w:pPr>
  </w:style>
  <w:style w:type="character" w:customStyle="1" w:styleId="markedcontent">
    <w:name w:val="markedcontent"/>
    <w:basedOn w:val="Policepardfaut"/>
    <w:rsid w:val="005B53A0"/>
  </w:style>
</w:styles>
</file>

<file path=word/webSettings.xml><?xml version="1.0" encoding="utf-8"?>
<w:webSettings xmlns:r="http://schemas.openxmlformats.org/officeDocument/2006/relationships" xmlns:w="http://schemas.openxmlformats.org/wordprocessingml/2006/main">
  <w:divs>
    <w:div w:id="45225670">
      <w:bodyDiv w:val="1"/>
      <w:marLeft w:val="0"/>
      <w:marRight w:val="0"/>
      <w:marTop w:val="0"/>
      <w:marBottom w:val="0"/>
      <w:divBdr>
        <w:top w:val="none" w:sz="0" w:space="0" w:color="auto"/>
        <w:left w:val="none" w:sz="0" w:space="0" w:color="auto"/>
        <w:bottom w:val="none" w:sz="0" w:space="0" w:color="auto"/>
        <w:right w:val="none" w:sz="0" w:space="0" w:color="auto"/>
      </w:divBdr>
    </w:div>
    <w:div w:id="96870536">
      <w:bodyDiv w:val="1"/>
      <w:marLeft w:val="0"/>
      <w:marRight w:val="0"/>
      <w:marTop w:val="0"/>
      <w:marBottom w:val="0"/>
      <w:divBdr>
        <w:top w:val="none" w:sz="0" w:space="0" w:color="auto"/>
        <w:left w:val="none" w:sz="0" w:space="0" w:color="auto"/>
        <w:bottom w:val="none" w:sz="0" w:space="0" w:color="auto"/>
        <w:right w:val="none" w:sz="0" w:space="0" w:color="auto"/>
      </w:divBdr>
    </w:div>
    <w:div w:id="37717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394</Words>
  <Characters>2167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Fateh</dc:creator>
  <cp:lastModifiedBy>Fateh</cp:lastModifiedBy>
  <cp:revision>21</cp:revision>
  <dcterms:created xsi:type="dcterms:W3CDTF">2022-01-29T14:09:00Z</dcterms:created>
  <dcterms:modified xsi:type="dcterms:W3CDTF">2023-02-08T18:46:00Z</dcterms:modified>
</cp:coreProperties>
</file>