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A5" w:rsidRDefault="00794FA5" w:rsidP="00794FA5">
      <w:pPr>
        <w:pBdr>
          <w:bottom w:val="single" w:sz="6" w:space="1" w:color="auto"/>
        </w:pBdr>
        <w:spacing w:after="0" w:line="240" w:lineRule="auto"/>
        <w:jc w:val="center"/>
        <w:rPr>
          <w:rFonts w:ascii="Garamond" w:hAnsi="Garamond" w:cs="Times New Roman"/>
          <w:b/>
          <w:sz w:val="40"/>
          <w:szCs w:val="28"/>
          <w:lang w:val="en-US"/>
        </w:rPr>
      </w:pPr>
      <w:r>
        <w:rPr>
          <w:rFonts w:ascii="Garamond" w:hAnsi="Garamond" w:cs="Times New Roman"/>
          <w:b/>
          <w:sz w:val="40"/>
          <w:szCs w:val="28"/>
          <w:lang w:val="en-US"/>
        </w:rPr>
        <w:t>Umu</w:t>
      </w:r>
      <w:r>
        <w:rPr>
          <w:rFonts w:ascii="Times New Roman" w:hAnsi="Times New Roman" w:cs="Times New Roman"/>
          <w:b/>
          <w:sz w:val="40"/>
          <w:szCs w:val="28"/>
          <w:lang w:val="en-US"/>
        </w:rPr>
        <w:t>ɣ</w:t>
      </w:r>
      <w:r>
        <w:rPr>
          <w:rFonts w:ascii="Garamond" w:hAnsi="Garamond" w:cs="Times New Roman"/>
          <w:b/>
          <w:sz w:val="40"/>
          <w:szCs w:val="28"/>
          <w:lang w:val="en-US"/>
        </w:rPr>
        <w:t xml:space="preserve"> n yidlisen</w:t>
      </w:r>
    </w:p>
    <w:p w:rsidR="00794FA5" w:rsidRDefault="00794FA5" w:rsidP="00794FA5">
      <w:pPr>
        <w:spacing w:after="0" w:line="240" w:lineRule="auto"/>
        <w:rPr>
          <w:rFonts w:ascii="Garamond" w:hAnsi="Garamond" w:cs="Times New Roman"/>
          <w:b/>
          <w:sz w:val="40"/>
          <w:szCs w:val="28"/>
          <w:lang w:val="en-US"/>
        </w:rPr>
      </w:pP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Garamond" w:hAnsi="Garamond" w:cstheme="majorBidi"/>
          <w:sz w:val="28"/>
          <w:szCs w:val="28"/>
          <w:lang w:val="en-US"/>
        </w:rPr>
        <w:t xml:space="preserve">ADJAOUT R. (2022), Anekcum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ɣer tesnilest, HCA/ éditions IMAL. 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eastAsia="Cambria-Bold" w:hAnsi="Garamond" w:cstheme="majorBidi"/>
          <w:sz w:val="28"/>
          <w:szCs w:val="28"/>
        </w:rPr>
        <w:t xml:space="preserve">BAYLON C., MIGNOT X. (2002), </w:t>
      </w:r>
      <w:r>
        <w:rPr>
          <w:rFonts w:ascii="Garamond" w:eastAsia="Cambria-Bold" w:hAnsi="Garamond" w:cstheme="majorBidi"/>
          <w:i/>
          <w:iCs/>
          <w:sz w:val="28"/>
          <w:szCs w:val="28"/>
        </w:rPr>
        <w:t>Initiation à la sémantique du langage</w:t>
      </w:r>
      <w:r>
        <w:rPr>
          <w:rFonts w:ascii="Garamond" w:eastAsia="Cambria-Bold" w:hAnsi="Garamond" w:cstheme="majorBidi"/>
          <w:sz w:val="28"/>
          <w:szCs w:val="28"/>
        </w:rPr>
        <w:t xml:space="preserve">, éditions, NATHAN UNIVERSITE. 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theme="majorBidi"/>
          <w:sz w:val="28"/>
          <w:szCs w:val="28"/>
        </w:rPr>
        <w:t xml:space="preserve">BERKAI A. (2009), </w:t>
      </w:r>
      <w:r>
        <w:rPr>
          <w:rFonts w:ascii="Garamond" w:hAnsi="Garamond" w:cstheme="majorBidi"/>
          <w:i/>
          <w:iCs/>
          <w:sz w:val="28"/>
          <w:szCs w:val="28"/>
        </w:rPr>
        <w:t>Lexique de la linguistique Français-Anglais-Tamazight</w:t>
      </w:r>
      <w:r>
        <w:rPr>
          <w:rFonts w:ascii="Garamond" w:hAnsi="Garamond" w:cstheme="majorBidi"/>
          <w:sz w:val="28"/>
          <w:szCs w:val="28"/>
        </w:rPr>
        <w:t xml:space="preserve">, édition ACHAB, Tizi-Ouzou.  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theme="majorBidi"/>
          <w:sz w:val="28"/>
          <w:szCs w:val="28"/>
        </w:rPr>
        <w:t xml:space="preserve">BOUAMARA K. et Al. (2006), </w:t>
      </w:r>
      <w:r>
        <w:rPr>
          <w:rFonts w:ascii="Garamond" w:hAnsi="Garamond" w:cstheme="majorBidi"/>
          <w:i/>
          <w:iCs/>
          <w:sz w:val="28"/>
          <w:szCs w:val="28"/>
        </w:rPr>
        <w:t>Rapport global sur les sciences sociales et de l’éducation : traitements morphosyntaxique et sociolinguistique</w:t>
      </w:r>
      <w:r>
        <w:rPr>
          <w:rFonts w:ascii="Garamond" w:hAnsi="Garamond" w:cstheme="majorBidi"/>
          <w:sz w:val="28"/>
          <w:szCs w:val="28"/>
        </w:rPr>
        <w:t>, Projet numéro U0601/51/06, Université de Béjaia.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eastAsia="Cambria-Bold" w:hAnsi="Garamond" w:cstheme="majorBidi"/>
          <w:sz w:val="28"/>
          <w:szCs w:val="28"/>
        </w:rPr>
        <w:t xml:space="preserve">CHOI-JONIN I, ET DELHAY C. (1998), </w:t>
      </w:r>
      <w:r>
        <w:rPr>
          <w:rFonts w:ascii="Garamond" w:eastAsia="Cambria-Bold" w:hAnsi="Garamond" w:cstheme="majorBidi"/>
          <w:i/>
          <w:sz w:val="28"/>
          <w:szCs w:val="28"/>
        </w:rPr>
        <w:t>Introduction à la méthodologie en linguistique, application au français contemporain</w:t>
      </w:r>
      <w:r>
        <w:rPr>
          <w:rFonts w:ascii="Garamond" w:eastAsia="Cambria-Bold" w:hAnsi="Garamond" w:cstheme="majorBidi"/>
          <w:sz w:val="28"/>
          <w:szCs w:val="28"/>
        </w:rPr>
        <w:t xml:space="preserve">, PRESSES UNIVERSITAIRES DE 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theme="majorBidi"/>
          <w:sz w:val="28"/>
          <w:szCs w:val="28"/>
        </w:rPr>
        <w:t xml:space="preserve">DUBOIS J. ET AL., (2002), </w:t>
      </w:r>
      <w:r>
        <w:rPr>
          <w:rFonts w:ascii="Garamond" w:hAnsi="Garamond" w:cstheme="majorBidi"/>
          <w:i/>
          <w:iCs/>
          <w:sz w:val="28"/>
          <w:szCs w:val="28"/>
        </w:rPr>
        <w:t xml:space="preserve">Dictionnaire de linguistique, </w:t>
      </w:r>
      <w:r>
        <w:rPr>
          <w:rFonts w:ascii="Garamond" w:hAnsi="Garamond" w:cstheme="majorBidi"/>
          <w:sz w:val="28"/>
          <w:szCs w:val="28"/>
        </w:rPr>
        <w:t>éditions, LAROUSSE-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theme="majorBidi"/>
          <w:color w:val="000000"/>
          <w:sz w:val="28"/>
          <w:szCs w:val="28"/>
        </w:rPr>
        <w:t xml:space="preserve">HADDADOU M. A. (2011), </w:t>
      </w:r>
      <w:r>
        <w:rPr>
          <w:rFonts w:ascii="Garamond" w:hAnsi="Garamond" w:cstheme="majorBidi"/>
          <w:i/>
          <w:color w:val="000000"/>
          <w:sz w:val="28"/>
          <w:szCs w:val="28"/>
        </w:rPr>
        <w:t>Précis de lexicologie amazigh</w:t>
      </w:r>
      <w:r>
        <w:rPr>
          <w:rFonts w:ascii="Garamond" w:hAnsi="Garamond" w:cstheme="majorBidi"/>
          <w:color w:val="000000"/>
          <w:sz w:val="28"/>
          <w:szCs w:val="28"/>
        </w:rPr>
        <w:t>, éditions ENAG, Alger.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theme="majorBidi"/>
          <w:sz w:val="28"/>
          <w:szCs w:val="28"/>
        </w:rPr>
        <w:t xml:space="preserve">LEHMANN A, MARTIN-BERTHET F. (2005), </w:t>
      </w:r>
      <w:r>
        <w:rPr>
          <w:rFonts w:ascii="Garamond" w:hAnsi="Garamond" w:cstheme="majorBidi"/>
          <w:i/>
          <w:iCs/>
          <w:sz w:val="28"/>
          <w:szCs w:val="28"/>
        </w:rPr>
        <w:t>Introduction à la lexicologie, sémantique et morphologie</w:t>
      </w:r>
      <w:r>
        <w:rPr>
          <w:rFonts w:ascii="Garamond" w:hAnsi="Garamond" w:cstheme="majorBidi"/>
          <w:sz w:val="28"/>
          <w:szCs w:val="28"/>
        </w:rPr>
        <w:t>, édition ARMAND COLIN.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theme="majorBidi"/>
          <w:color w:val="000000"/>
          <w:sz w:val="28"/>
          <w:szCs w:val="28"/>
        </w:rPr>
        <w:t xml:space="preserve">LEHMANN A. ET MARTIN-BERTHET F. (2013), </w:t>
      </w:r>
      <w:r>
        <w:rPr>
          <w:rFonts w:ascii="Garamond" w:hAnsi="Garamond" w:cstheme="majorBidi"/>
          <w:i/>
          <w:color w:val="000000"/>
          <w:sz w:val="28"/>
          <w:szCs w:val="28"/>
        </w:rPr>
        <w:t>Introduction à la lexicologie, sémantique et morphologie</w:t>
      </w:r>
      <w:r>
        <w:rPr>
          <w:rFonts w:ascii="Garamond" w:hAnsi="Garamond" w:cstheme="majorBidi"/>
          <w:color w:val="000000"/>
          <w:sz w:val="28"/>
          <w:szCs w:val="28"/>
        </w:rPr>
        <w:t xml:space="preserve">, </w:t>
      </w:r>
      <w:r>
        <w:rPr>
          <w:rFonts w:ascii="Garamond" w:hAnsi="Garamond" w:cstheme="majorBidi"/>
          <w:sz w:val="28"/>
          <w:szCs w:val="28"/>
        </w:rPr>
        <w:t xml:space="preserve">éditions </w:t>
      </w:r>
      <w:r>
        <w:rPr>
          <w:rFonts w:ascii="Garamond" w:hAnsi="Garamond" w:cstheme="majorBidi"/>
          <w:color w:val="000000"/>
          <w:sz w:val="28"/>
          <w:szCs w:val="28"/>
        </w:rPr>
        <w:t xml:space="preserve">ARMAND COLIN, Paris. 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eastAsia="Cambria-Bold" w:hAnsi="Garamond" w:cstheme="majorBidi"/>
          <w:sz w:val="28"/>
          <w:szCs w:val="28"/>
        </w:rPr>
        <w:t xml:space="preserve">MARTIN R. (2002), </w:t>
      </w:r>
      <w:r>
        <w:rPr>
          <w:rFonts w:ascii="Garamond" w:eastAsia="Cambria-Bold" w:hAnsi="Garamond" w:cstheme="majorBidi"/>
          <w:i/>
          <w:iCs/>
          <w:sz w:val="28"/>
          <w:szCs w:val="28"/>
        </w:rPr>
        <w:t>Comprendre la linguistique</w:t>
      </w:r>
      <w:r>
        <w:rPr>
          <w:rFonts w:ascii="Garamond" w:eastAsia="Cambria-Bold" w:hAnsi="Garamond" w:cstheme="majorBidi"/>
          <w:sz w:val="28"/>
          <w:szCs w:val="28"/>
        </w:rPr>
        <w:t xml:space="preserve">, édition PRESSE UNIVERSITAIRE DE FRANCE, Paris. 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MEL’ČUK I. A et AL. (1995) : </w:t>
      </w:r>
      <w:r>
        <w:rPr>
          <w:rFonts w:ascii="Garamond" w:hAnsi="Garamond" w:cs="Times New Roman"/>
          <w:i/>
          <w:iCs/>
          <w:sz w:val="28"/>
          <w:szCs w:val="28"/>
        </w:rPr>
        <w:t xml:space="preserve">Introduction à la lexocologie explicative et combinatoire, </w:t>
      </w:r>
      <w:r>
        <w:rPr>
          <w:rFonts w:ascii="Garamond" w:hAnsi="Garamond" w:cstheme="majorBidi"/>
          <w:color w:val="000000"/>
          <w:sz w:val="28"/>
          <w:szCs w:val="28"/>
        </w:rPr>
        <w:t>éditions Duculot, Belgium.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MEZIANI,  Y. (2021),  </w:t>
      </w:r>
      <w:r>
        <w:rPr>
          <w:rFonts w:ascii="Garamond" w:hAnsi="Garamond" w:cs="Times New Roman"/>
          <w:i/>
          <w:iCs/>
          <w:sz w:val="28"/>
          <w:szCs w:val="28"/>
        </w:rPr>
        <w:t xml:space="preserve">Awir </w:t>
      </w:r>
      <w:r>
        <w:rPr>
          <w:rFonts w:ascii="Times New Roman" w:hAnsi="Times New Roman" w:cs="Times New Roman"/>
          <w:i/>
          <w:iCs/>
          <w:sz w:val="28"/>
          <w:szCs w:val="28"/>
        </w:rPr>
        <w:t>ɣ</w:t>
      </w:r>
      <w:r>
        <w:rPr>
          <w:rFonts w:ascii="Garamond" w:hAnsi="Garamond" w:cs="Times New Roman"/>
          <w:i/>
          <w:iCs/>
          <w:sz w:val="28"/>
          <w:szCs w:val="28"/>
        </w:rPr>
        <w:t>er yi</w:t>
      </w:r>
      <w:r>
        <w:rPr>
          <w:rFonts w:ascii="Times New Roman" w:hAnsi="Times New Roman" w:cs="Times New Roman"/>
          <w:i/>
          <w:iCs/>
          <w:sz w:val="28"/>
          <w:szCs w:val="28"/>
        </w:rPr>
        <w:t>ɣ</w:t>
      </w:r>
      <w:r>
        <w:rPr>
          <w:rFonts w:ascii="Garamond" w:hAnsi="Garamond" w:cs="Times New Roman"/>
          <w:i/>
          <w:iCs/>
          <w:sz w:val="28"/>
          <w:szCs w:val="28"/>
        </w:rPr>
        <w:t>erbaen n tenilet</w:t>
      </w:r>
      <w:r>
        <w:rPr>
          <w:rFonts w:ascii="Garamond" w:hAnsi="Garamond" w:cs="Times New Roman"/>
          <w:sz w:val="28"/>
          <w:szCs w:val="28"/>
        </w:rPr>
        <w:t xml:space="preserve">, édition ENAG/ HCA, Alger. 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theme="majorBidi"/>
          <w:sz w:val="28"/>
          <w:szCs w:val="28"/>
        </w:rPr>
        <w:t xml:space="preserve">PICOCHE J. (1997), </w:t>
      </w:r>
      <w:r>
        <w:rPr>
          <w:rFonts w:ascii="Garamond" w:hAnsi="Garamond" w:cstheme="majorBidi"/>
          <w:i/>
          <w:sz w:val="28"/>
          <w:szCs w:val="28"/>
        </w:rPr>
        <w:t>Précis de lexicologie française, l’étude de l’enseignement du vocabulaire,</w:t>
      </w:r>
      <w:r>
        <w:rPr>
          <w:rFonts w:ascii="Garamond" w:hAnsi="Garamond" w:cstheme="majorBidi"/>
          <w:sz w:val="28"/>
          <w:szCs w:val="28"/>
        </w:rPr>
        <w:t xml:space="preserve"> édition NATHAN UNIVERSITE.  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theme="majorBidi"/>
          <w:sz w:val="28"/>
          <w:szCs w:val="28"/>
        </w:rPr>
        <w:t xml:space="preserve">RASTIER F. (1987), </w:t>
      </w:r>
      <w:r>
        <w:rPr>
          <w:rFonts w:ascii="Garamond" w:hAnsi="Garamond" w:cstheme="majorBidi"/>
          <w:i/>
          <w:sz w:val="28"/>
          <w:szCs w:val="28"/>
        </w:rPr>
        <w:t>Sémantique interprétative</w:t>
      </w:r>
      <w:r>
        <w:rPr>
          <w:rFonts w:ascii="Garamond" w:hAnsi="Garamond" w:cstheme="majorBidi"/>
          <w:sz w:val="28"/>
          <w:szCs w:val="28"/>
        </w:rPr>
        <w:t xml:space="preserve">, Paris, Presse Universitaire de France. 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eastAsia="Times New Roman" w:hAnsi="Garamond" w:cstheme="majorBidi"/>
          <w:sz w:val="28"/>
          <w:szCs w:val="28"/>
        </w:rPr>
        <w:lastRenderedPageBreak/>
        <w:t xml:space="preserve">SIOUFFI G, VAN RAEMNDONCK D. (1999), </w:t>
      </w:r>
      <w:r>
        <w:rPr>
          <w:rFonts w:ascii="Garamond" w:eastAsia="Times New Roman" w:hAnsi="Garamond" w:cstheme="majorBidi"/>
          <w:i/>
          <w:iCs/>
          <w:sz w:val="28"/>
          <w:szCs w:val="28"/>
        </w:rPr>
        <w:t>100 fiches pour comprendre la linguistique</w:t>
      </w:r>
      <w:r>
        <w:rPr>
          <w:rFonts w:ascii="Garamond" w:eastAsia="Times New Roman" w:hAnsi="Garamond" w:cstheme="majorBidi"/>
          <w:sz w:val="28"/>
          <w:szCs w:val="28"/>
        </w:rPr>
        <w:t xml:space="preserve">, éditions BREAL. </w:t>
      </w:r>
    </w:p>
    <w:p w:rsidR="00794FA5" w:rsidRDefault="00794FA5" w:rsidP="00794FA5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3402"/>
          <w:tab w:val="left" w:pos="4678"/>
        </w:tabs>
        <w:spacing w:after="0" w:line="240" w:lineRule="auto"/>
        <w:jc w:val="both"/>
        <w:rPr>
          <w:rFonts w:ascii="Garamond" w:hAnsi="Garamond" w:cs="Times New Roman"/>
          <w:b/>
          <w:sz w:val="32"/>
          <w:szCs w:val="28"/>
          <w:lang w:val="tzm-Latn-DZ"/>
        </w:rPr>
      </w:pPr>
      <w:r>
        <w:rPr>
          <w:rFonts w:ascii="Garamond" w:hAnsi="Garamond" w:cstheme="majorBidi"/>
          <w:sz w:val="28"/>
          <w:szCs w:val="28"/>
        </w:rPr>
        <w:t xml:space="preserve">SOUTET O. (2001), </w:t>
      </w:r>
      <w:r>
        <w:rPr>
          <w:rFonts w:ascii="Garamond" w:hAnsi="Garamond" w:cstheme="majorBidi"/>
          <w:i/>
          <w:iCs/>
          <w:sz w:val="28"/>
          <w:szCs w:val="28"/>
        </w:rPr>
        <w:t>Linguistique</w:t>
      </w:r>
      <w:r>
        <w:rPr>
          <w:rFonts w:ascii="Garamond" w:hAnsi="Garamond" w:cstheme="majorBidi"/>
          <w:sz w:val="28"/>
          <w:szCs w:val="28"/>
        </w:rPr>
        <w:t xml:space="preserve">, éditions Presse Universitaire de France, Paris. </w:t>
      </w:r>
    </w:p>
    <w:p w:rsidR="00794FA5" w:rsidRPr="000A0568" w:rsidRDefault="00794FA5" w:rsidP="00794FA5">
      <w:pPr>
        <w:rPr>
          <w:lang w:val="tzm-Latn-DZ"/>
        </w:rPr>
      </w:pPr>
    </w:p>
    <w:p w:rsidR="00002B64" w:rsidRPr="00794FA5" w:rsidRDefault="00002B64">
      <w:pPr>
        <w:rPr>
          <w:lang w:val="tzm-Latn-DZ"/>
        </w:rPr>
      </w:pPr>
      <w:bookmarkStart w:id="0" w:name="_GoBack"/>
      <w:bookmarkEnd w:id="0"/>
    </w:p>
    <w:sectPr w:rsidR="00002B64" w:rsidRPr="00794FA5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68" w:rsidRPr="005A56A0" w:rsidRDefault="00794FA5" w:rsidP="000A0568">
    <w:pPr>
      <w:pStyle w:val="En-tte"/>
      <w:rPr>
        <w:rFonts w:ascii="Garamond" w:hAnsi="Garamond"/>
        <w:sz w:val="24"/>
        <w:szCs w:val="24"/>
        <w:lang w:val="tzm-Latn-DZ"/>
      </w:rPr>
    </w:pPr>
    <w:r w:rsidRPr="005A56A0">
      <w:rPr>
        <w:rFonts w:ascii="Garamond" w:hAnsi="Garamond"/>
        <w:sz w:val="24"/>
        <w:szCs w:val="24"/>
      </w:rPr>
      <w:t xml:space="preserve">Tasdawit </w:t>
    </w:r>
    <w:r w:rsidRPr="005A56A0">
      <w:rPr>
        <w:rFonts w:ascii="Garamond" w:hAnsi="Garamond"/>
        <w:sz w:val="24"/>
        <w:szCs w:val="24"/>
        <w:lang w:val="tzm-Latn-DZ"/>
      </w:rPr>
      <w:t>Abderrahmane Mira, Béjaia</w:t>
    </w:r>
  </w:p>
  <w:p w:rsidR="000A0568" w:rsidRPr="005A56A0" w:rsidRDefault="00794FA5" w:rsidP="000A0568">
    <w:pPr>
      <w:pStyle w:val="En-tte"/>
      <w:rPr>
        <w:rFonts w:ascii="Garamond" w:hAnsi="Garamond"/>
        <w:sz w:val="24"/>
        <w:szCs w:val="24"/>
        <w:lang w:val="tzm-Latn-DZ"/>
      </w:rPr>
    </w:pPr>
    <w:r w:rsidRPr="005A56A0">
      <w:rPr>
        <w:rFonts w:ascii="Garamond" w:hAnsi="Garamond"/>
        <w:sz w:val="24"/>
        <w:szCs w:val="24"/>
        <w:lang w:val="tzm-Latn-DZ"/>
      </w:rPr>
      <w:t>Tasga n Tutlayt d Ydles n Tmazi</w:t>
    </w:r>
    <w:r w:rsidRPr="005A56A0">
      <w:rPr>
        <w:rFonts w:ascii="Times New Roman" w:hAnsi="Times New Roman" w:cs="Times New Roman"/>
        <w:sz w:val="24"/>
        <w:szCs w:val="24"/>
        <w:lang w:val="tzm-Latn-DZ"/>
      </w:rPr>
      <w:t>ɣ</w:t>
    </w:r>
    <w:r w:rsidRPr="005A56A0">
      <w:rPr>
        <w:rFonts w:ascii="Garamond" w:hAnsi="Garamond"/>
        <w:sz w:val="24"/>
        <w:szCs w:val="24"/>
        <w:lang w:val="tzm-Latn-DZ"/>
      </w:rPr>
      <w:t xml:space="preserve">t </w:t>
    </w:r>
  </w:p>
  <w:p w:rsidR="000A0568" w:rsidRPr="005A56A0" w:rsidRDefault="00794FA5" w:rsidP="000A0568">
    <w:pPr>
      <w:pStyle w:val="En-tte"/>
      <w:rPr>
        <w:rFonts w:ascii="Garamond" w:hAnsi="Garamond"/>
        <w:sz w:val="24"/>
        <w:szCs w:val="24"/>
        <w:lang w:val="tzm-Latn-DZ"/>
      </w:rPr>
    </w:pPr>
    <w:r w:rsidRPr="005A56A0">
      <w:rPr>
        <w:rFonts w:ascii="Garamond" w:hAnsi="Garamond"/>
        <w:sz w:val="24"/>
        <w:szCs w:val="24"/>
        <w:lang w:val="tzm-Latn-DZ"/>
      </w:rPr>
      <w:t xml:space="preserve">Almud :  Tasnamka </w:t>
    </w:r>
  </w:p>
  <w:p w:rsidR="000A0568" w:rsidRPr="005A56A0" w:rsidRDefault="00794FA5" w:rsidP="000A0568">
    <w:pPr>
      <w:pStyle w:val="En-tte"/>
      <w:rPr>
        <w:rFonts w:ascii="Garamond" w:hAnsi="Garamond"/>
        <w:sz w:val="24"/>
        <w:szCs w:val="24"/>
        <w:lang w:val="tzm-Latn-DZ"/>
      </w:rPr>
    </w:pPr>
    <w:r w:rsidRPr="005A56A0">
      <w:rPr>
        <w:rFonts w:ascii="Garamond" w:hAnsi="Garamond"/>
        <w:sz w:val="24"/>
        <w:szCs w:val="24"/>
        <w:lang w:val="tzm-Latn-DZ"/>
      </w:rPr>
      <w:t xml:space="preserve">Aseggas wis sin, Turagt. </w:t>
    </w:r>
  </w:p>
  <w:p w:rsidR="000A0568" w:rsidRPr="005A56A0" w:rsidRDefault="00794FA5" w:rsidP="000A0568">
    <w:pPr>
      <w:pStyle w:val="En-tte"/>
      <w:rPr>
        <w:rFonts w:ascii="Garamond" w:hAnsi="Garamond"/>
        <w:sz w:val="24"/>
        <w:szCs w:val="24"/>
        <w:lang w:val="tzm-Latn-DZ"/>
      </w:rPr>
    </w:pPr>
    <w:r w:rsidRPr="005A56A0">
      <w:rPr>
        <w:rFonts w:ascii="Garamond" w:hAnsi="Garamond"/>
        <w:sz w:val="24"/>
        <w:szCs w:val="24"/>
        <w:lang w:val="tzm-Latn-DZ"/>
      </w:rPr>
      <w:t xml:space="preserve">Aseggas asdawan: 2022/2023. </w:t>
    </w:r>
  </w:p>
  <w:p w:rsidR="000A0568" w:rsidRPr="005A56A0" w:rsidRDefault="00794FA5" w:rsidP="000A0568">
    <w:pPr>
      <w:pStyle w:val="En-tte"/>
      <w:rPr>
        <w:rFonts w:ascii="Garamond" w:hAnsi="Garamond"/>
        <w:sz w:val="24"/>
        <w:szCs w:val="24"/>
        <w:lang w:val="tzm-Latn-DZ"/>
      </w:rPr>
    </w:pPr>
    <w:r w:rsidRPr="005A56A0">
      <w:rPr>
        <w:rFonts w:ascii="Garamond" w:hAnsi="Garamond"/>
        <w:sz w:val="24"/>
        <w:szCs w:val="24"/>
        <w:lang w:val="tzm-Latn-DZ"/>
      </w:rPr>
      <w:t xml:space="preserve">Aselmad : Yahiaoui Mahdi. </w:t>
    </w:r>
  </w:p>
  <w:p w:rsidR="000A0568" w:rsidRPr="000A0568" w:rsidRDefault="00794FA5">
    <w:pPr>
      <w:pStyle w:val="En-tte"/>
      <w:rPr>
        <w:lang w:val="tzm-Latn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847DC"/>
    <w:multiLevelType w:val="hybridMultilevel"/>
    <w:tmpl w:val="F2A8CC7C"/>
    <w:lvl w:ilvl="0" w:tplc="C76ACF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A5"/>
    <w:rsid w:val="00002B64"/>
    <w:rsid w:val="007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1107-A5BC-4E84-B83D-8664BE95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FA5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4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4FA5"/>
    <w:rPr>
      <w:noProof/>
    </w:rPr>
  </w:style>
  <w:style w:type="paragraph" w:styleId="Paragraphedeliste">
    <w:name w:val="List Paragraph"/>
    <w:basedOn w:val="Normal"/>
    <w:uiPriority w:val="34"/>
    <w:qFormat/>
    <w:rsid w:val="0079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</dc:creator>
  <cp:keywords/>
  <dc:description/>
  <cp:lastModifiedBy>YAHIAOUI</cp:lastModifiedBy>
  <cp:revision>1</cp:revision>
  <dcterms:created xsi:type="dcterms:W3CDTF">2023-05-28T00:35:00Z</dcterms:created>
  <dcterms:modified xsi:type="dcterms:W3CDTF">2023-05-28T00:35:00Z</dcterms:modified>
</cp:coreProperties>
</file>