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C7" w:rsidRDefault="00175715" w:rsidP="00175715">
      <w:pPr>
        <w:jc w:val="center"/>
        <w:rPr>
          <w:b/>
          <w:sz w:val="36"/>
          <w:u w:val="single"/>
        </w:rPr>
      </w:pPr>
      <w:r w:rsidRPr="00175715">
        <w:rPr>
          <w:b/>
          <w:sz w:val="36"/>
          <w:u w:val="single"/>
        </w:rPr>
        <w:t xml:space="preserve">LE CYTOSQUELETTE </w:t>
      </w:r>
    </w:p>
    <w:p w:rsidR="00175715" w:rsidRDefault="00175715" w:rsidP="00175715">
      <w:pPr>
        <w:rPr>
          <w:b/>
          <w:u w:val="single"/>
        </w:rPr>
      </w:pPr>
      <w:r>
        <w:rPr>
          <w:b/>
          <w:u w:val="single"/>
        </w:rPr>
        <w:t xml:space="preserve">Sommaire </w:t>
      </w:r>
    </w:p>
    <w:p w:rsidR="00175715" w:rsidRDefault="00175715" w:rsidP="00175715">
      <w:pPr>
        <w:pStyle w:val="Paragraphedeliste"/>
        <w:numPr>
          <w:ilvl w:val="0"/>
          <w:numId w:val="1"/>
        </w:numPr>
      </w:pPr>
      <w:r>
        <w:t>Introduction – Généralités</w:t>
      </w:r>
    </w:p>
    <w:p w:rsidR="00175715" w:rsidRDefault="00175715" w:rsidP="00175715">
      <w:pPr>
        <w:pStyle w:val="Paragraphedeliste"/>
        <w:numPr>
          <w:ilvl w:val="0"/>
          <w:numId w:val="1"/>
        </w:numPr>
      </w:pPr>
      <w:r>
        <w:t>Les filaments d’actine (microfilaments)</w:t>
      </w:r>
    </w:p>
    <w:p w:rsidR="00175715" w:rsidRDefault="00175715" w:rsidP="00175715">
      <w:pPr>
        <w:pStyle w:val="Paragraphedeliste"/>
        <w:ind w:left="1080"/>
      </w:pPr>
      <w:r>
        <w:t>1. L’actine</w:t>
      </w:r>
    </w:p>
    <w:p w:rsidR="00175715" w:rsidRDefault="00175715" w:rsidP="00175715">
      <w:pPr>
        <w:pStyle w:val="Paragraphedeliste"/>
        <w:ind w:left="1080"/>
      </w:pPr>
      <w:r>
        <w:t>2. Polymérisation de l’actine</w:t>
      </w:r>
    </w:p>
    <w:p w:rsidR="00175715" w:rsidRDefault="00175715" w:rsidP="00175715">
      <w:pPr>
        <w:pStyle w:val="Paragraphedeliste"/>
        <w:ind w:left="1080"/>
      </w:pPr>
      <w:r>
        <w:t>3. Exemples d’assemblages</w:t>
      </w:r>
    </w:p>
    <w:p w:rsidR="00175715" w:rsidRDefault="00175715" w:rsidP="00175715">
      <w:pPr>
        <w:pStyle w:val="Paragraphedeliste"/>
        <w:ind w:left="1080"/>
      </w:pPr>
      <w:r>
        <w:t xml:space="preserve">4. Fonctions des microfilaments </w:t>
      </w:r>
    </w:p>
    <w:p w:rsidR="00175715" w:rsidRDefault="00175715" w:rsidP="00175715">
      <w:pPr>
        <w:pStyle w:val="Paragraphedeliste"/>
        <w:ind w:left="1080"/>
      </w:pPr>
      <w:r>
        <w:t>Cortex cellulaire</w:t>
      </w:r>
    </w:p>
    <w:p w:rsidR="00175715" w:rsidRDefault="00175715" w:rsidP="00175715">
      <w:pPr>
        <w:pStyle w:val="Paragraphedeliste"/>
        <w:ind w:left="1080"/>
      </w:pPr>
      <w:r>
        <w:t>Appareil contractile</w:t>
      </w:r>
    </w:p>
    <w:p w:rsidR="00175715" w:rsidRDefault="00175715" w:rsidP="00175715">
      <w:pPr>
        <w:pStyle w:val="Paragraphedeliste"/>
        <w:numPr>
          <w:ilvl w:val="0"/>
          <w:numId w:val="1"/>
        </w:numPr>
      </w:pPr>
      <w:r>
        <w:t>Les filaments intermédiaires</w:t>
      </w:r>
    </w:p>
    <w:p w:rsidR="00175715" w:rsidRPr="00175715" w:rsidRDefault="00175715" w:rsidP="00175715">
      <w:r>
        <w:t xml:space="preserve"> </w:t>
      </w:r>
    </w:p>
    <w:sectPr w:rsidR="00175715" w:rsidRPr="00175715" w:rsidSect="00AA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0B9A"/>
    <w:multiLevelType w:val="hybridMultilevel"/>
    <w:tmpl w:val="E5C453CE"/>
    <w:lvl w:ilvl="0" w:tplc="BAE2FF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175715"/>
    <w:rsid w:val="00175715"/>
    <w:rsid w:val="00A429E4"/>
    <w:rsid w:val="00AA48C7"/>
    <w:rsid w:val="00DE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5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dcterms:created xsi:type="dcterms:W3CDTF">2015-02-25T21:09:00Z</dcterms:created>
  <dcterms:modified xsi:type="dcterms:W3CDTF">2015-02-25T21:09:00Z</dcterms:modified>
</cp:coreProperties>
</file>