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0125" w14:textId="64789FC1" w:rsidR="006F1197" w:rsidRPr="006F1197" w:rsidRDefault="006F1197" w:rsidP="006F1197">
      <w:pPr>
        <w:pStyle w:val="MCQList1"/>
        <w:keepNext w:val="0"/>
        <w:keepLines w:val="0"/>
        <w:widowControl w:val="0"/>
        <w:tabs>
          <w:tab w:val="left" w:pos="101"/>
        </w:tabs>
        <w:spacing w:before="0" w:after="160" w:line="240" w:lineRule="exact"/>
        <w:ind w:left="446" w:hanging="446"/>
        <w:rPr>
          <w:b/>
          <w:bCs/>
        </w:rPr>
      </w:pPr>
      <w:r w:rsidRPr="006F1197">
        <w:rPr>
          <w:b/>
          <w:bCs/>
        </w:rPr>
        <w:t>Tutorial 4: Questions</w:t>
      </w:r>
    </w:p>
    <w:p w14:paraId="4D10F2A8" w14:textId="237AD542" w:rsidR="006F1197" w:rsidRDefault="006F1197" w:rsidP="006F1197">
      <w:pPr>
        <w:pStyle w:val="MCQList1"/>
        <w:keepNext w:val="0"/>
        <w:keepLines w:val="0"/>
        <w:widowControl w:val="0"/>
        <w:tabs>
          <w:tab w:val="left" w:pos="101"/>
        </w:tabs>
        <w:spacing w:before="0" w:after="160" w:line="240" w:lineRule="exact"/>
        <w:ind w:left="446" w:hanging="446"/>
      </w:pPr>
      <w:r>
        <w:t>1.</w:t>
      </w:r>
      <w:r>
        <w:tab/>
        <w:t>You own a $1,000-par zero-coupon bond that has 5 years of remaining maturity. You plan on selling the bond in one year and believe that the required yield next year will have the following probability distribution:</w:t>
      </w:r>
    </w:p>
    <w:tbl>
      <w:tblPr>
        <w:tblW w:w="0" w:type="auto"/>
        <w:tblInd w:w="467" w:type="dxa"/>
        <w:tblLayout w:type="fixed"/>
        <w:tblLook w:val="0000" w:firstRow="0" w:lastRow="0" w:firstColumn="0" w:lastColumn="0" w:noHBand="0" w:noVBand="0"/>
      </w:tblPr>
      <w:tblGrid>
        <w:gridCol w:w="1557"/>
        <w:gridCol w:w="1728"/>
      </w:tblGrid>
      <w:tr w:rsidR="006F1197" w14:paraId="7ED172FC" w14:textId="77777777" w:rsidTr="00085EE5">
        <w:tblPrEx>
          <w:tblCellMar>
            <w:top w:w="0" w:type="dxa"/>
            <w:bottom w:w="0" w:type="dxa"/>
          </w:tblCellMar>
        </w:tblPrEx>
        <w:tc>
          <w:tcPr>
            <w:tcW w:w="1557" w:type="dxa"/>
            <w:tcBorders>
              <w:top w:val="single" w:sz="4" w:space="0" w:color="auto"/>
              <w:bottom w:val="single" w:sz="4" w:space="0" w:color="auto"/>
            </w:tcBorders>
            <w:tcMar>
              <w:left w:w="0" w:type="dxa"/>
              <w:right w:w="0" w:type="dxa"/>
            </w:tcMar>
          </w:tcPr>
          <w:p w14:paraId="1E39FFEF" w14:textId="77777777" w:rsidR="006F1197" w:rsidRDefault="006F1197" w:rsidP="00085EE5">
            <w:pPr>
              <w:pStyle w:val="T1"/>
              <w:keepNext w:val="0"/>
              <w:spacing w:before="60" w:after="60"/>
              <w:jc w:val="center"/>
              <w:rPr>
                <w:b/>
                <w:bCs/>
              </w:rPr>
            </w:pPr>
            <w:r>
              <w:rPr>
                <w:b/>
                <w:bCs/>
              </w:rPr>
              <w:t>Probability</w:t>
            </w:r>
          </w:p>
        </w:tc>
        <w:tc>
          <w:tcPr>
            <w:tcW w:w="1728" w:type="dxa"/>
            <w:tcBorders>
              <w:top w:val="single" w:sz="4" w:space="0" w:color="auto"/>
              <w:bottom w:val="single" w:sz="4" w:space="0" w:color="auto"/>
            </w:tcBorders>
            <w:tcMar>
              <w:left w:w="0" w:type="dxa"/>
              <w:right w:w="0" w:type="dxa"/>
            </w:tcMar>
          </w:tcPr>
          <w:p w14:paraId="321C32B1" w14:textId="77777777" w:rsidR="006F1197" w:rsidRDefault="006F1197" w:rsidP="00085EE5">
            <w:pPr>
              <w:pStyle w:val="T1"/>
              <w:keepNext w:val="0"/>
              <w:spacing w:before="60" w:after="60"/>
              <w:jc w:val="center"/>
              <w:rPr>
                <w:b/>
                <w:bCs/>
              </w:rPr>
            </w:pPr>
            <w:r>
              <w:rPr>
                <w:b/>
                <w:bCs/>
              </w:rPr>
              <w:t>Required Yield</w:t>
            </w:r>
          </w:p>
        </w:tc>
      </w:tr>
      <w:tr w:rsidR="006F1197" w14:paraId="14C31F86" w14:textId="77777777" w:rsidTr="00085EE5">
        <w:tblPrEx>
          <w:tblCellMar>
            <w:top w:w="0" w:type="dxa"/>
            <w:bottom w:w="0" w:type="dxa"/>
          </w:tblCellMar>
        </w:tblPrEx>
        <w:tc>
          <w:tcPr>
            <w:tcW w:w="1557" w:type="dxa"/>
            <w:tcBorders>
              <w:top w:val="single" w:sz="4" w:space="0" w:color="auto"/>
            </w:tcBorders>
            <w:tcMar>
              <w:left w:w="0" w:type="dxa"/>
              <w:right w:w="0" w:type="dxa"/>
            </w:tcMar>
          </w:tcPr>
          <w:p w14:paraId="443520B6" w14:textId="77777777" w:rsidR="006F1197" w:rsidRDefault="006F1197" w:rsidP="00085EE5">
            <w:pPr>
              <w:pStyle w:val="T1"/>
              <w:keepNext w:val="0"/>
              <w:spacing w:before="60"/>
              <w:ind w:firstLine="9"/>
              <w:jc w:val="center"/>
            </w:pPr>
            <w:r>
              <w:t>0.1</w:t>
            </w:r>
          </w:p>
        </w:tc>
        <w:tc>
          <w:tcPr>
            <w:tcW w:w="1728" w:type="dxa"/>
            <w:tcBorders>
              <w:top w:val="single" w:sz="4" w:space="0" w:color="auto"/>
            </w:tcBorders>
            <w:tcMar>
              <w:left w:w="0" w:type="dxa"/>
              <w:right w:w="0" w:type="dxa"/>
            </w:tcMar>
          </w:tcPr>
          <w:p w14:paraId="4534C700" w14:textId="77777777" w:rsidR="006F1197" w:rsidRDefault="006F1197" w:rsidP="00085EE5">
            <w:pPr>
              <w:pStyle w:val="T1"/>
              <w:keepNext w:val="0"/>
              <w:spacing w:before="60"/>
              <w:ind w:right="540"/>
              <w:jc w:val="right"/>
            </w:pPr>
            <w:r>
              <w:t>6.60%</w:t>
            </w:r>
          </w:p>
        </w:tc>
      </w:tr>
      <w:tr w:rsidR="006F1197" w14:paraId="39CFAD67" w14:textId="77777777" w:rsidTr="00085EE5">
        <w:tblPrEx>
          <w:tblCellMar>
            <w:top w:w="0" w:type="dxa"/>
            <w:bottom w:w="0" w:type="dxa"/>
          </w:tblCellMar>
        </w:tblPrEx>
        <w:tc>
          <w:tcPr>
            <w:tcW w:w="1557" w:type="dxa"/>
            <w:tcMar>
              <w:left w:w="0" w:type="dxa"/>
              <w:right w:w="0" w:type="dxa"/>
            </w:tcMar>
          </w:tcPr>
          <w:p w14:paraId="1C9D06F6" w14:textId="77777777" w:rsidR="006F1197" w:rsidRDefault="006F1197" w:rsidP="00085EE5">
            <w:pPr>
              <w:pStyle w:val="T1"/>
              <w:keepNext w:val="0"/>
              <w:spacing w:before="20"/>
              <w:ind w:firstLine="9"/>
              <w:jc w:val="center"/>
            </w:pPr>
            <w:r>
              <w:t>0.2</w:t>
            </w:r>
          </w:p>
        </w:tc>
        <w:tc>
          <w:tcPr>
            <w:tcW w:w="1728" w:type="dxa"/>
            <w:tcMar>
              <w:left w:w="0" w:type="dxa"/>
              <w:right w:w="0" w:type="dxa"/>
            </w:tcMar>
          </w:tcPr>
          <w:p w14:paraId="4F20D672" w14:textId="77777777" w:rsidR="006F1197" w:rsidRDefault="006F1197" w:rsidP="00085EE5">
            <w:pPr>
              <w:pStyle w:val="T1"/>
              <w:keepNext w:val="0"/>
              <w:spacing w:before="20"/>
              <w:ind w:right="540"/>
              <w:jc w:val="right"/>
            </w:pPr>
            <w:r>
              <w:t>6.75%</w:t>
            </w:r>
          </w:p>
        </w:tc>
      </w:tr>
      <w:tr w:rsidR="006F1197" w14:paraId="15C2065A" w14:textId="77777777" w:rsidTr="00085EE5">
        <w:tblPrEx>
          <w:tblCellMar>
            <w:top w:w="0" w:type="dxa"/>
            <w:bottom w:w="0" w:type="dxa"/>
          </w:tblCellMar>
        </w:tblPrEx>
        <w:tc>
          <w:tcPr>
            <w:tcW w:w="1557" w:type="dxa"/>
            <w:tcMar>
              <w:left w:w="0" w:type="dxa"/>
              <w:right w:w="0" w:type="dxa"/>
            </w:tcMar>
          </w:tcPr>
          <w:p w14:paraId="6F3C2806" w14:textId="77777777" w:rsidR="006F1197" w:rsidRDefault="006F1197" w:rsidP="00085EE5">
            <w:pPr>
              <w:pStyle w:val="T1"/>
              <w:keepNext w:val="0"/>
              <w:spacing w:before="20"/>
              <w:ind w:firstLine="9"/>
              <w:jc w:val="center"/>
            </w:pPr>
            <w:r>
              <w:t>0.4</w:t>
            </w:r>
          </w:p>
        </w:tc>
        <w:tc>
          <w:tcPr>
            <w:tcW w:w="1728" w:type="dxa"/>
            <w:tcMar>
              <w:left w:w="0" w:type="dxa"/>
              <w:right w:w="0" w:type="dxa"/>
            </w:tcMar>
          </w:tcPr>
          <w:p w14:paraId="71D865B0" w14:textId="77777777" w:rsidR="006F1197" w:rsidRDefault="006F1197" w:rsidP="00085EE5">
            <w:pPr>
              <w:pStyle w:val="T1"/>
              <w:keepNext w:val="0"/>
              <w:spacing w:before="20"/>
              <w:ind w:right="540"/>
              <w:jc w:val="right"/>
            </w:pPr>
            <w:r>
              <w:t>7.00%</w:t>
            </w:r>
          </w:p>
        </w:tc>
      </w:tr>
      <w:tr w:rsidR="006F1197" w14:paraId="4460FDFF" w14:textId="77777777" w:rsidTr="00085EE5">
        <w:tblPrEx>
          <w:tblCellMar>
            <w:top w:w="0" w:type="dxa"/>
            <w:bottom w:w="0" w:type="dxa"/>
          </w:tblCellMar>
        </w:tblPrEx>
        <w:tc>
          <w:tcPr>
            <w:tcW w:w="1557" w:type="dxa"/>
            <w:tcMar>
              <w:left w:w="0" w:type="dxa"/>
              <w:right w:w="0" w:type="dxa"/>
            </w:tcMar>
          </w:tcPr>
          <w:p w14:paraId="4F7A7672" w14:textId="77777777" w:rsidR="006F1197" w:rsidRDefault="006F1197" w:rsidP="00085EE5">
            <w:pPr>
              <w:pStyle w:val="T1"/>
              <w:keepNext w:val="0"/>
              <w:spacing w:before="20"/>
              <w:ind w:firstLine="9"/>
              <w:jc w:val="center"/>
            </w:pPr>
            <w:r>
              <w:t>0.2</w:t>
            </w:r>
          </w:p>
        </w:tc>
        <w:tc>
          <w:tcPr>
            <w:tcW w:w="1728" w:type="dxa"/>
            <w:tcMar>
              <w:left w:w="0" w:type="dxa"/>
              <w:right w:w="0" w:type="dxa"/>
            </w:tcMar>
          </w:tcPr>
          <w:p w14:paraId="281EE5C2" w14:textId="77777777" w:rsidR="006F1197" w:rsidRDefault="006F1197" w:rsidP="00085EE5">
            <w:pPr>
              <w:pStyle w:val="T1"/>
              <w:keepNext w:val="0"/>
              <w:spacing w:before="20"/>
              <w:ind w:right="540"/>
              <w:jc w:val="right"/>
            </w:pPr>
            <w:r>
              <w:t>7.20%</w:t>
            </w:r>
          </w:p>
        </w:tc>
      </w:tr>
      <w:tr w:rsidR="006F1197" w14:paraId="1E22216E" w14:textId="77777777" w:rsidTr="00085EE5">
        <w:tblPrEx>
          <w:tblCellMar>
            <w:top w:w="0" w:type="dxa"/>
            <w:bottom w:w="0" w:type="dxa"/>
          </w:tblCellMar>
        </w:tblPrEx>
        <w:tc>
          <w:tcPr>
            <w:tcW w:w="1557" w:type="dxa"/>
            <w:tcBorders>
              <w:bottom w:val="single" w:sz="4" w:space="0" w:color="auto"/>
            </w:tcBorders>
            <w:tcMar>
              <w:left w:w="0" w:type="dxa"/>
              <w:right w:w="0" w:type="dxa"/>
            </w:tcMar>
          </w:tcPr>
          <w:p w14:paraId="57FCF428" w14:textId="77777777" w:rsidR="006F1197" w:rsidRDefault="006F1197" w:rsidP="00085EE5">
            <w:pPr>
              <w:pStyle w:val="T1"/>
              <w:keepNext w:val="0"/>
              <w:spacing w:before="20" w:after="60"/>
              <w:ind w:firstLine="9"/>
              <w:jc w:val="center"/>
            </w:pPr>
            <w:r>
              <w:t>0.1</w:t>
            </w:r>
          </w:p>
        </w:tc>
        <w:tc>
          <w:tcPr>
            <w:tcW w:w="1728" w:type="dxa"/>
            <w:tcBorders>
              <w:bottom w:val="single" w:sz="4" w:space="0" w:color="auto"/>
            </w:tcBorders>
            <w:tcMar>
              <w:left w:w="0" w:type="dxa"/>
              <w:right w:w="0" w:type="dxa"/>
            </w:tcMar>
          </w:tcPr>
          <w:p w14:paraId="1E2F782D" w14:textId="77777777" w:rsidR="006F1197" w:rsidRDefault="006F1197" w:rsidP="00085EE5">
            <w:pPr>
              <w:pStyle w:val="T1"/>
              <w:keepNext w:val="0"/>
              <w:spacing w:before="20" w:after="60"/>
              <w:ind w:right="540"/>
              <w:jc w:val="right"/>
            </w:pPr>
            <w:r>
              <w:t>7.45%</w:t>
            </w:r>
          </w:p>
        </w:tc>
      </w:tr>
    </w:tbl>
    <w:p w14:paraId="1E692C97" w14:textId="77777777" w:rsidR="006F1197" w:rsidRDefault="006F1197" w:rsidP="006F1197">
      <w:pPr>
        <w:pStyle w:val="MCQList2"/>
        <w:keepNext w:val="0"/>
        <w:keepLines w:val="0"/>
        <w:ind w:left="820" w:hanging="374"/>
      </w:pPr>
    </w:p>
    <w:p w14:paraId="43E0561A" w14:textId="77777777" w:rsidR="006F1197" w:rsidRDefault="006F1197" w:rsidP="006F1197">
      <w:pPr>
        <w:pStyle w:val="MCQList2"/>
        <w:keepNext w:val="0"/>
        <w:keepLines w:val="0"/>
        <w:ind w:left="820" w:hanging="374"/>
      </w:pPr>
      <w:r>
        <w:t>a.</w:t>
      </w:r>
      <w:r>
        <w:tab/>
        <w:t>What is your expected price when you sell the bond?</w:t>
      </w:r>
    </w:p>
    <w:p w14:paraId="1053F499" w14:textId="77777777" w:rsidR="006F1197" w:rsidRDefault="006F1197" w:rsidP="006F1197">
      <w:pPr>
        <w:pStyle w:val="MCQList2"/>
        <w:keepNext w:val="0"/>
        <w:keepLines w:val="0"/>
      </w:pPr>
      <w:r>
        <w:t>b.</w:t>
      </w:r>
      <w:r>
        <w:tab/>
        <w:t>What is the standard deviation?</w:t>
      </w:r>
    </w:p>
    <w:p w14:paraId="15ADE7F4" w14:textId="77777777" w:rsidR="006F1197" w:rsidRDefault="006F1197" w:rsidP="006F1197">
      <w:pPr>
        <w:pStyle w:val="MCQList1"/>
        <w:keepNext w:val="0"/>
        <w:keepLines w:val="0"/>
      </w:pPr>
      <w:r>
        <w:t>2.</w:t>
      </w:r>
      <w:r>
        <w:tab/>
        <w:t xml:space="preserve">Consider a $1,000-par junk bond paying a 12% annual coupon. The issuing company has </w:t>
      </w:r>
      <w:proofErr w:type="gramStart"/>
      <w:r>
        <w:t>20</w:t>
      </w:r>
      <w:proofErr w:type="gramEnd"/>
      <w:r>
        <w:t>% chance of defaulting this year; in which case, the bond would not pay anything. If the company survives the first year, paying the annual coupon payment, it then has a 25% chance of defaulting in the second year. If the company defaults in the second year, neither the final coupon payment nor par value of the bond will be paid. What price must investors pay for this bond to expect a 10% yield to maturity? At that price, what is the expected holding period return? Standard deviation of returns? Assume that periodic cash flows are reinvested at 10%.</w:t>
      </w:r>
    </w:p>
    <w:p w14:paraId="76D0C716" w14:textId="77777777" w:rsidR="006F1197" w:rsidRDefault="006F1197" w:rsidP="006F1197">
      <w:pPr>
        <w:pStyle w:val="MCQList1"/>
        <w:keepNext w:val="0"/>
        <w:keepLines w:val="0"/>
        <w:rPr>
          <w:spacing w:val="-2"/>
        </w:rPr>
      </w:pPr>
      <w:r>
        <w:t>3.</w:t>
      </w:r>
      <w:r>
        <w:tab/>
      </w:r>
      <w:r>
        <w:rPr>
          <w:spacing w:val="-2"/>
        </w:rPr>
        <w:t xml:space="preserve">Last month, corporations supplied $250 billion in bonds to investors at an average market rate of </w:t>
      </w:r>
      <w:r>
        <w:rPr>
          <w:spacing w:val="-3"/>
        </w:rPr>
        <w:t>11.8%.</w:t>
      </w:r>
      <w:r>
        <w:rPr>
          <w:spacing w:val="-2"/>
        </w:rPr>
        <w:t xml:space="preserve"> This month, an additional $25 billion in bonds became available, and market rates increased to 12.2%. Assuming a Loanable Funds Framework for interest rates, and that the demand curve remained constant, derive a linear equation for the demand for bonds, using prices instead of interest rates.</w:t>
      </w:r>
    </w:p>
    <w:p w14:paraId="1DA0BEE4" w14:textId="77777777" w:rsidR="006F1197" w:rsidRDefault="006F1197" w:rsidP="006F1197">
      <w:pPr>
        <w:pStyle w:val="MCQList1"/>
        <w:keepNext w:val="0"/>
        <w:keepLines w:val="0"/>
        <w:spacing w:before="160"/>
        <w:ind w:left="446" w:hanging="446"/>
      </w:pPr>
      <w:r>
        <w:t>4.</w:t>
      </w:r>
      <w:r>
        <w:tab/>
        <w:t>An economist has estimated that, near the point of equilibrium, the demand curve and supply curve for bonds can be estimated using the following equations:</w:t>
      </w:r>
    </w:p>
    <w:p w14:paraId="3AC7F7F0" w14:textId="77777777" w:rsidR="006F1197" w:rsidRDefault="006F1197" w:rsidP="006F1197">
      <w:pPr>
        <w:pStyle w:val="equation"/>
        <w:keepNext w:val="0"/>
        <w:tabs>
          <w:tab w:val="clear" w:pos="3600"/>
          <w:tab w:val="left" w:pos="3762"/>
        </w:tabs>
        <w:spacing w:before="60"/>
        <w:ind w:right="936"/>
      </w:pPr>
      <w:r>
        <w:t xml:space="preserve"> </w:t>
      </w:r>
      <w:r>
        <w:rPr>
          <w:position w:val="-40"/>
        </w:rPr>
        <w:object w:dxaOrig="2760" w:dyaOrig="920" w14:anchorId="42609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8.25pt;height:46.1pt" o:ole="">
            <v:imagedata r:id="rId4" o:title=""/>
          </v:shape>
          <o:OLEObject Type="Embed" ProgID="Equation.DSMT4" ShapeID="_x0000_i1032" DrawAspect="Content" ObjectID="_1758721473" r:id="rId5"/>
        </w:object>
      </w:r>
    </w:p>
    <w:p w14:paraId="247F7420" w14:textId="77777777" w:rsidR="006F1197" w:rsidRDefault="006F1197" w:rsidP="006F1197">
      <w:pPr>
        <w:pStyle w:val="MCQList2"/>
        <w:keepNext w:val="0"/>
        <w:keepLines w:val="0"/>
      </w:pPr>
      <w:r>
        <w:t>a.</w:t>
      </w:r>
      <w:r>
        <w:tab/>
        <w:t>What is the expected equilibrium price and quantity of bonds in this market?</w:t>
      </w:r>
    </w:p>
    <w:p w14:paraId="4896C378" w14:textId="77777777" w:rsidR="006F1197" w:rsidRDefault="006F1197" w:rsidP="006F1197">
      <w:pPr>
        <w:pStyle w:val="MCQList2"/>
        <w:keepNext w:val="0"/>
        <w:keepLines w:val="0"/>
      </w:pPr>
      <w:r>
        <w:t>b.</w:t>
      </w:r>
      <w:r>
        <w:tab/>
        <w:t>Given your answer to part (a), which is the expected interest rate in this market?</w:t>
      </w:r>
    </w:p>
    <w:p w14:paraId="52D4F3A8" w14:textId="02958B6E" w:rsidR="006F1197" w:rsidRDefault="006F1197" w:rsidP="006F1197">
      <w:pPr>
        <w:pStyle w:val="MCQList2"/>
        <w:keepNext w:val="0"/>
        <w:keepLines w:val="0"/>
        <w:tabs>
          <w:tab w:val="left" w:pos="3150"/>
          <w:tab w:val="left" w:pos="3294"/>
        </w:tabs>
        <w:spacing w:before="60"/>
        <w:ind w:left="820" w:hanging="374"/>
      </w:pPr>
    </w:p>
    <w:p w14:paraId="4E945882" w14:textId="77777777" w:rsidR="006F1197" w:rsidRDefault="006F1197" w:rsidP="006F1197">
      <w:pPr>
        <w:pStyle w:val="MCQList2"/>
        <w:keepNext w:val="0"/>
        <w:keepLines w:val="0"/>
        <w:tabs>
          <w:tab w:val="left" w:pos="3150"/>
          <w:tab w:val="left" w:pos="3294"/>
        </w:tabs>
        <w:spacing w:before="60"/>
        <w:ind w:left="820" w:hanging="374"/>
      </w:pPr>
    </w:p>
    <w:p w14:paraId="2C146352" w14:textId="77777777" w:rsidR="006F1197" w:rsidRDefault="006F1197" w:rsidP="006F1197">
      <w:pPr>
        <w:pStyle w:val="MCQList2"/>
        <w:keepNext w:val="0"/>
        <w:keepLines w:val="0"/>
        <w:tabs>
          <w:tab w:val="left" w:pos="3150"/>
          <w:tab w:val="left" w:pos="3294"/>
        </w:tabs>
        <w:spacing w:after="0"/>
        <w:ind w:left="0" w:firstLine="0"/>
      </w:pPr>
      <w:r>
        <w:t>5. As in Question 6, the demand curve and supply curve for bonds are estimated using the following                       equations:</w:t>
      </w:r>
    </w:p>
    <w:p w14:paraId="25331071" w14:textId="77777777" w:rsidR="006F1197" w:rsidRDefault="006F1197" w:rsidP="006F1197">
      <w:pPr>
        <w:pStyle w:val="equation"/>
        <w:keepNext w:val="0"/>
        <w:tabs>
          <w:tab w:val="left" w:pos="3300"/>
        </w:tabs>
        <w:spacing w:before="60" w:after="0"/>
        <w:ind w:right="1872"/>
      </w:pPr>
      <w:r>
        <w:rPr>
          <w:position w:val="-40"/>
        </w:rPr>
        <w:object w:dxaOrig="2760" w:dyaOrig="920" w14:anchorId="37A2D574">
          <v:shape id="_x0000_i1035" type="#_x0000_t75" style="width:138.25pt;height:46.1pt" o:ole="">
            <v:imagedata r:id="rId6" o:title=""/>
          </v:shape>
          <o:OLEObject Type="Embed" ProgID="Equation.DSMT4" ShapeID="_x0000_i1035" DrawAspect="Content" ObjectID="_1758721474" r:id="rId7"/>
        </w:object>
      </w:r>
    </w:p>
    <w:p w14:paraId="330A75C0" w14:textId="77777777" w:rsidR="006F1197" w:rsidRDefault="006F1197" w:rsidP="006F1197">
      <w:pPr>
        <w:pStyle w:val="MCQList1"/>
        <w:keepNext w:val="0"/>
        <w:keepLines w:val="0"/>
        <w:spacing w:before="120"/>
        <w:ind w:left="446" w:hanging="446"/>
      </w:pPr>
      <w:r>
        <w:tab/>
        <w:t xml:space="preserve">Following a dramatic increase in the value of the stock market, many retirees started moving money out of the stock market and into bonds. This resulted in a parallel shift in the demand for bonds, such that the price of bonds </w:t>
      </w:r>
      <w:proofErr w:type="gramStart"/>
      <w:r>
        <w:t>at</w:t>
      </w:r>
      <w:proofErr w:type="gramEnd"/>
      <w:r>
        <w:t xml:space="preserve"> all quantities increased $50. Assuming no change in the supply equation for bonds, what is the new equilibrium price and quantity? What is the new market interest rate?</w:t>
      </w:r>
    </w:p>
    <w:p w14:paraId="19C84CA3" w14:textId="77777777" w:rsidR="006F1197" w:rsidRDefault="006F1197" w:rsidP="006F1197">
      <w:pPr>
        <w:pStyle w:val="MCQList1"/>
        <w:keepNext w:val="0"/>
        <w:keepLines w:val="0"/>
        <w:spacing w:before="160"/>
        <w:ind w:left="446" w:hanging="446"/>
      </w:pPr>
      <w:r>
        <w:lastRenderedPageBreak/>
        <w:t>6.</w:t>
      </w:r>
      <w:r>
        <w:tab/>
        <w:t>Following Question 5, the demand curve and supply curve for bonds are estimated using the following equations:</w:t>
      </w:r>
    </w:p>
    <w:p w14:paraId="3430C10A" w14:textId="77777777" w:rsidR="006F1197" w:rsidRDefault="006F1197" w:rsidP="006F1197">
      <w:pPr>
        <w:pStyle w:val="MCQList1"/>
        <w:keepNext w:val="0"/>
        <w:keepLines w:val="0"/>
        <w:spacing w:before="120"/>
        <w:ind w:left="446" w:hanging="446"/>
        <w:jc w:val="center"/>
      </w:pPr>
      <w:r>
        <w:rPr>
          <w:i/>
          <w:spacing w:val="20"/>
        </w:rPr>
        <w:t>B</w:t>
      </w:r>
      <w:r>
        <w:rPr>
          <w:i/>
          <w:vertAlign w:val="superscript"/>
        </w:rPr>
        <w:t>d</w:t>
      </w:r>
      <w:r>
        <w:rPr>
          <w:i/>
        </w:rPr>
        <w:t xml:space="preserve">: </w:t>
      </w:r>
      <w:r>
        <w:rPr>
          <w:iCs/>
        </w:rPr>
        <w:t>Price</w:t>
      </w:r>
      <w:r>
        <w:t xml:space="preserve"> </w:t>
      </w:r>
      <w:r>
        <w:rPr>
          <w:rFonts w:ascii="Symbol" w:hAnsi="Symbol"/>
        </w:rPr>
        <w:t></w:t>
      </w:r>
      <w:r>
        <w:t xml:space="preserve"> </w:t>
      </w:r>
      <w:r>
        <w:rPr>
          <w:position w:val="-22"/>
        </w:rPr>
        <w:object w:dxaOrig="1740" w:dyaOrig="580" w14:anchorId="1C82E9EC">
          <v:shape id="_x0000_i1039" type="#_x0000_t75" style="width:87pt;height:28.8pt" o:ole="">
            <v:imagedata r:id="rId8" o:title=""/>
          </v:shape>
          <o:OLEObject Type="Embed" ProgID="Equation.DSMT4" ShapeID="_x0000_i1039" DrawAspect="Content" ObjectID="_1758721475" r:id="rId9"/>
        </w:object>
      </w:r>
    </w:p>
    <w:p w14:paraId="4D6A5C79" w14:textId="77777777" w:rsidR="006F1197" w:rsidRDefault="006F1197" w:rsidP="006F1197">
      <w:pPr>
        <w:pStyle w:val="MCQList1"/>
        <w:keepNext w:val="0"/>
        <w:keepLines w:val="0"/>
        <w:tabs>
          <w:tab w:val="left" w:pos="3321"/>
        </w:tabs>
        <w:spacing w:before="0"/>
        <w:ind w:left="446" w:hanging="446"/>
      </w:pPr>
      <w:r>
        <w:rPr>
          <w:spacing w:val="20"/>
        </w:rPr>
        <w:tab/>
      </w:r>
      <w:r>
        <w:rPr>
          <w:spacing w:val="20"/>
        </w:rPr>
        <w:tab/>
      </w:r>
      <w:r>
        <w:rPr>
          <w:i/>
          <w:iCs/>
          <w:spacing w:val="20"/>
        </w:rPr>
        <w:t>B</w:t>
      </w:r>
      <w:r>
        <w:rPr>
          <w:i/>
          <w:iCs/>
          <w:vertAlign w:val="superscript"/>
        </w:rPr>
        <w:t>s</w:t>
      </w:r>
      <w:r>
        <w:t xml:space="preserve">: Price </w:t>
      </w:r>
      <w:r>
        <w:rPr>
          <w:rFonts w:ascii="Symbol" w:hAnsi="Symbol"/>
        </w:rPr>
        <w:t></w:t>
      </w:r>
      <w:r>
        <w:t xml:space="preserve"> Quantity </w:t>
      </w:r>
      <w:r>
        <w:rPr>
          <w:rFonts w:ascii="Symbol" w:hAnsi="Symbol"/>
        </w:rPr>
        <w:t></w:t>
      </w:r>
      <w:r>
        <w:t xml:space="preserve"> 500</w:t>
      </w:r>
    </w:p>
    <w:p w14:paraId="046A5E82" w14:textId="77777777" w:rsidR="006F1197" w:rsidRDefault="006F1197" w:rsidP="006F1197">
      <w:pPr>
        <w:pStyle w:val="MCQList1"/>
        <w:keepNext w:val="0"/>
        <w:keepLines w:val="0"/>
        <w:spacing w:before="120"/>
        <w:ind w:left="446" w:hanging="446"/>
      </w:pPr>
      <w:r>
        <w:tab/>
        <w:t>As the stock market continued to rise, the Federal Reserve felt the need to increase the interest rates. As a result, the new market interest rate increased to 19.65%, but the equilibrium quantity remained unchanged. What are the new demand and supply equations? Assume parallel shifts in the equations.</w:t>
      </w:r>
    </w:p>
    <w:p w14:paraId="697F6DB5" w14:textId="77777777" w:rsidR="006F1197" w:rsidRDefault="006F1197"/>
    <w:sectPr w:rsidR="006F1197" w:rsidSect="006824CB">
      <w:headerReference w:type="even" r:id="rId10"/>
      <w:headerReference w:type="default" r:id="rId11"/>
      <w:footerReference w:type="even" r:id="rId12"/>
      <w:footerReference w:type="default" r:id="rId13"/>
      <w:footerReference w:type="first" r:id="rId14"/>
      <w:pgSz w:w="12240" w:h="15840" w:code="1"/>
      <w:pgMar w:top="1440" w:right="1008" w:bottom="1440" w:left="1800" w:header="720" w:footer="720" w:gutter="0"/>
      <w:pgNumType w:start="15"/>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3CCC" w14:textId="77777777" w:rsidR="000F3506" w:rsidRPr="006221EB" w:rsidRDefault="000F3506" w:rsidP="006221EB">
    <w:pPr>
      <w:pStyle w:val="Footer"/>
      <w:pBdr>
        <w:top w:val="single" w:sz="4" w:space="1" w:color="auto"/>
      </w:pBdr>
      <w:spacing w:before="360"/>
      <w:jc w:val="center"/>
      <w:rPr>
        <w:sz w:val="18"/>
      </w:rPr>
    </w:pPr>
    <w:r w:rsidRPr="006221EB">
      <w:rPr>
        <w:sz w:val="18"/>
      </w:rPr>
      <w:t>Copyright © 201</w:t>
    </w:r>
    <w:r>
      <w:rPr>
        <w:sz w:val="18"/>
      </w:rPr>
      <w:t>8</w:t>
    </w:r>
    <w:r w:rsidRPr="006221EB">
      <w:rPr>
        <w:sz w:val="18"/>
      </w:rPr>
      <w:t xml:space="preserve"> Pearson Education,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BB8D" w14:textId="77777777" w:rsidR="000F3506" w:rsidRPr="006221EB" w:rsidRDefault="000F3506" w:rsidP="006221EB">
    <w:pPr>
      <w:pStyle w:val="Footer"/>
      <w:pBdr>
        <w:top w:val="single" w:sz="4" w:space="1" w:color="auto"/>
      </w:pBdr>
      <w:spacing w:before="360"/>
      <w:jc w:val="center"/>
      <w:rPr>
        <w:sz w:val="18"/>
      </w:rPr>
    </w:pPr>
    <w:r w:rsidRPr="006221EB">
      <w:rPr>
        <w:sz w:val="18"/>
      </w:rPr>
      <w:t>Copyrigh</w:t>
    </w:r>
    <w:r w:rsidRPr="006221EB">
      <w:rPr>
        <w:sz w:val="18"/>
      </w:rPr>
      <w:t>t © 201</w:t>
    </w:r>
    <w:r>
      <w:rPr>
        <w:sz w:val="18"/>
      </w:rPr>
      <w:t>8</w:t>
    </w:r>
    <w:r w:rsidRPr="006221EB">
      <w:rPr>
        <w:sz w:val="18"/>
      </w:rPr>
      <w:t xml:space="preserve"> Pearson Education,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61D5" w14:textId="77777777" w:rsidR="000F3506" w:rsidRPr="00CD1EB8" w:rsidRDefault="000F3506" w:rsidP="00CD1EB8">
    <w:pPr>
      <w:pStyle w:val="Footer"/>
      <w:pBdr>
        <w:top w:val="single" w:sz="4" w:space="1" w:color="auto"/>
      </w:pBdr>
      <w:spacing w:before="360"/>
      <w:jc w:val="center"/>
      <w:rPr>
        <w:sz w:val="18"/>
      </w:rPr>
    </w:pPr>
    <w:r w:rsidRPr="0069506F">
      <w:rPr>
        <w:sz w:val="18"/>
      </w:rPr>
      <w:t>Copyright © 201</w:t>
    </w:r>
    <w:r>
      <w:rPr>
        <w:sz w:val="18"/>
      </w:rPr>
      <w:t>8</w:t>
    </w:r>
    <w:r w:rsidRPr="0069506F">
      <w:rPr>
        <w:sz w:val="18"/>
      </w:rPr>
      <w:t xml:space="preserve"> Pearson Education, Inc.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B85C" w14:textId="77777777" w:rsidR="000F3506" w:rsidRPr="006221EB" w:rsidRDefault="000F3506" w:rsidP="00E572D8">
    <w:pPr>
      <w:pStyle w:val="VersoHeader"/>
      <w:tabs>
        <w:tab w:val="right" w:pos="9432"/>
      </w:tabs>
      <w:rPr>
        <w:rFonts w:ascii="Times New Roman" w:hAnsi="Times New Roman"/>
      </w:rPr>
    </w:pPr>
    <w:r w:rsidRPr="006221EB">
      <w:rPr>
        <w:rFonts w:ascii="Arial Black" w:hAnsi="Arial Black"/>
        <w:sz w:val="16"/>
      </w:rPr>
      <w:fldChar w:fldCharType="begin"/>
    </w:r>
    <w:r w:rsidRPr="006221EB">
      <w:rPr>
        <w:rFonts w:ascii="Arial Black" w:hAnsi="Arial Black"/>
        <w:sz w:val="16"/>
      </w:rPr>
      <w:instrText xml:space="preserve"> PAGE  \* MERGEFORMAT </w:instrText>
    </w:r>
    <w:r w:rsidRPr="006221EB">
      <w:rPr>
        <w:rFonts w:ascii="Arial Black" w:hAnsi="Arial Black"/>
        <w:sz w:val="16"/>
      </w:rPr>
      <w:fldChar w:fldCharType="separate"/>
    </w:r>
    <w:r>
      <w:rPr>
        <w:rFonts w:ascii="Arial Black" w:hAnsi="Arial Black"/>
        <w:noProof/>
        <w:sz w:val="16"/>
      </w:rPr>
      <w:t>16</w:t>
    </w:r>
    <w:r w:rsidRPr="006221EB">
      <w:rPr>
        <w:rFonts w:ascii="Arial Black" w:hAnsi="Arial Black"/>
        <w:sz w:val="16"/>
      </w:rPr>
      <w:fldChar w:fldCharType="end"/>
    </w:r>
    <w:r>
      <w:rPr>
        <w:rFonts w:ascii="Times New Roman" w:hAnsi="Times New Roman"/>
      </w:rPr>
      <w:t xml:space="preserve">    Mishkin/Eakins • </w:t>
    </w:r>
    <w:r w:rsidRPr="003C7B16">
      <w:rPr>
        <w:rFonts w:ascii="Times New Roman" w:hAnsi="Times New Roman"/>
        <w:i/>
      </w:rPr>
      <w:t>Financial Markets and Institutions,</w:t>
    </w:r>
    <w:r>
      <w:rPr>
        <w:rFonts w:ascii="Times New Roman" w:hAnsi="Times New Roman"/>
      </w:rPr>
      <w:t xml:space="preserve"> </w:t>
    </w:r>
    <w:r>
      <w:rPr>
        <w:rFonts w:ascii="Times New Roman" w:hAnsi="Times New Roman"/>
      </w:rPr>
      <w:t>Eighth</w:t>
    </w:r>
    <w:r>
      <w:rPr>
        <w:rFonts w:ascii="Times New Roman" w:hAnsi="Times New Roman"/>
      </w:rPr>
      <w:t xml:space="preserve"> Edition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0A7E" w14:textId="77777777" w:rsidR="000F3506" w:rsidRPr="006221EB" w:rsidRDefault="000F3506" w:rsidP="00E572D8">
    <w:pPr>
      <w:pStyle w:val="RectoHeader"/>
      <w:tabs>
        <w:tab w:val="right" w:pos="9432"/>
      </w:tabs>
      <w:rPr>
        <w:rFonts w:ascii="Times New Roman" w:hAnsi="Times New Roman"/>
      </w:rPr>
    </w:pPr>
    <w:r>
      <w:rPr>
        <w:rFonts w:ascii="Times New Roman" w:hAnsi="Times New Roman"/>
      </w:rPr>
      <w:t>Chapter 4: Why Do Interest Rates Change?</w:t>
    </w:r>
    <w:r w:rsidRPr="006221EB">
      <w:rPr>
        <w:rFonts w:ascii="Times New Roman" w:hAnsi="Times New Roman"/>
      </w:rPr>
      <w:t xml:space="preserve">    </w:t>
    </w:r>
    <w:r w:rsidRPr="006221EB">
      <w:rPr>
        <w:rFonts w:ascii="Arial Black" w:hAnsi="Arial Black"/>
        <w:sz w:val="16"/>
      </w:rPr>
      <w:fldChar w:fldCharType="begin"/>
    </w:r>
    <w:r w:rsidRPr="006221EB">
      <w:rPr>
        <w:rFonts w:ascii="Arial Black" w:hAnsi="Arial Black"/>
        <w:sz w:val="16"/>
      </w:rPr>
      <w:instrText xml:space="preserve"> PAGE  \* MERGEFORMAT </w:instrText>
    </w:r>
    <w:r w:rsidRPr="006221EB">
      <w:rPr>
        <w:rFonts w:ascii="Arial Black" w:hAnsi="Arial Black"/>
        <w:sz w:val="16"/>
      </w:rPr>
      <w:fldChar w:fldCharType="separate"/>
    </w:r>
    <w:r>
      <w:rPr>
        <w:rFonts w:ascii="Arial Black" w:hAnsi="Arial Black"/>
        <w:sz w:val="16"/>
      </w:rPr>
      <w:t>17</w:t>
    </w:r>
    <w:r w:rsidRPr="006221EB">
      <w:rPr>
        <w:rFonts w:ascii="Arial Black" w:hAnsi="Arial Black"/>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97"/>
    <w:rsid w:val="00146F8C"/>
    <w:rsid w:val="002D15C0"/>
    <w:rsid w:val="0031518B"/>
    <w:rsid w:val="00453D60"/>
    <w:rsid w:val="00553D6F"/>
    <w:rsid w:val="00573386"/>
    <w:rsid w:val="006F1197"/>
    <w:rsid w:val="00E71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8A33"/>
  <w15:chartTrackingRefBased/>
  <w15:docId w15:val="{78C53C7C-7DFC-4888-A557-D46B9698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97"/>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6F1197"/>
    <w:pPr>
      <w:keepNext/>
    </w:pPr>
    <w:rPr>
      <w:rFonts w:ascii="Times" w:hAnsi="Times"/>
      <w:sz w:val="22"/>
    </w:rPr>
  </w:style>
  <w:style w:type="paragraph" w:styleId="Footer">
    <w:name w:val="footer"/>
    <w:basedOn w:val="Normal"/>
    <w:link w:val="FooterChar"/>
    <w:semiHidden/>
    <w:rsid w:val="006F1197"/>
    <w:pPr>
      <w:tabs>
        <w:tab w:val="center" w:pos="4320"/>
        <w:tab w:val="right" w:pos="8640"/>
      </w:tabs>
    </w:pPr>
  </w:style>
  <w:style w:type="character" w:customStyle="1" w:styleId="FooterChar">
    <w:name w:val="Footer Char"/>
    <w:basedOn w:val="DefaultParagraphFont"/>
    <w:link w:val="Footer"/>
    <w:semiHidden/>
    <w:rsid w:val="006F1197"/>
    <w:rPr>
      <w:rFonts w:ascii="Times New Roman" w:eastAsia="Times New Roman" w:hAnsi="Times New Roman" w:cs="Times New Roman"/>
      <w:kern w:val="0"/>
      <w:sz w:val="20"/>
      <w:szCs w:val="20"/>
      <w:lang w:val="en-US"/>
      <w14:ligatures w14:val="none"/>
    </w:rPr>
  </w:style>
  <w:style w:type="paragraph" w:customStyle="1" w:styleId="VersoHeader">
    <w:name w:val="Verso Header"/>
    <w:rsid w:val="006F1197"/>
    <w:pPr>
      <w:pBdr>
        <w:bottom w:val="single" w:sz="4" w:space="2" w:color="auto"/>
      </w:pBdr>
      <w:spacing w:after="360" w:line="240" w:lineRule="auto"/>
    </w:pPr>
    <w:rPr>
      <w:rFonts w:ascii="Times" w:eastAsia="Times New Roman" w:hAnsi="Times" w:cs="Times New Roman"/>
      <w:kern w:val="0"/>
      <w:sz w:val="18"/>
      <w:szCs w:val="20"/>
      <w:lang w:val="en-US"/>
      <w14:ligatures w14:val="none"/>
    </w:rPr>
  </w:style>
  <w:style w:type="paragraph" w:customStyle="1" w:styleId="RectoHeader">
    <w:name w:val="Recto Header"/>
    <w:rsid w:val="006F1197"/>
    <w:pPr>
      <w:pBdr>
        <w:bottom w:val="single" w:sz="4" w:space="2" w:color="auto"/>
      </w:pBdr>
      <w:spacing w:after="360" w:line="240" w:lineRule="auto"/>
      <w:jc w:val="right"/>
    </w:pPr>
    <w:rPr>
      <w:rFonts w:ascii="Times" w:eastAsia="Times" w:hAnsi="Times" w:cs="Times New Roman"/>
      <w:noProof/>
      <w:kern w:val="0"/>
      <w:sz w:val="18"/>
      <w:szCs w:val="20"/>
      <w:lang w:val="en-US"/>
      <w14:ligatures w14:val="none"/>
    </w:rPr>
  </w:style>
  <w:style w:type="paragraph" w:customStyle="1" w:styleId="MCQList1">
    <w:name w:val="MCQ_List1"/>
    <w:basedOn w:val="Normal"/>
    <w:rsid w:val="006F1197"/>
    <w:pPr>
      <w:keepNext/>
      <w:keepLines/>
      <w:spacing w:before="200" w:after="60"/>
      <w:ind w:left="450" w:hanging="450"/>
      <w:outlineLvl w:val="2"/>
    </w:pPr>
    <w:rPr>
      <w:rFonts w:ascii="Times" w:hAnsi="Times"/>
      <w:snapToGrid w:val="0"/>
      <w:sz w:val="22"/>
    </w:rPr>
  </w:style>
  <w:style w:type="paragraph" w:customStyle="1" w:styleId="MCQList2">
    <w:name w:val="MCQ_List2"/>
    <w:basedOn w:val="Normal"/>
    <w:rsid w:val="006F1197"/>
    <w:pPr>
      <w:keepNext/>
      <w:keepLines/>
      <w:spacing w:after="40"/>
      <w:ind w:left="825" w:hanging="375"/>
      <w:outlineLvl w:val="2"/>
    </w:pPr>
    <w:rPr>
      <w:rFonts w:ascii="Times" w:hAnsi="Times"/>
      <w:snapToGrid w:val="0"/>
      <w:sz w:val="22"/>
    </w:rPr>
  </w:style>
  <w:style w:type="paragraph" w:customStyle="1" w:styleId="equation">
    <w:name w:val="equation"/>
    <w:basedOn w:val="NormalWeb"/>
    <w:rsid w:val="006F1197"/>
    <w:pPr>
      <w:keepNext/>
      <w:tabs>
        <w:tab w:val="left" w:pos="3600"/>
        <w:tab w:val="left" w:pos="9000"/>
      </w:tabs>
      <w:spacing w:before="120" w:after="120"/>
      <w:jc w:val="center"/>
    </w:pPr>
    <w:rPr>
      <w:rFonts w:ascii="Times" w:hAnsi="Times"/>
      <w:sz w:val="22"/>
      <w:szCs w:val="22"/>
    </w:rPr>
  </w:style>
  <w:style w:type="paragraph" w:customStyle="1" w:styleId="MCQAns1">
    <w:name w:val="MCQ_Ans1"/>
    <w:basedOn w:val="Normal"/>
    <w:rsid w:val="006F1197"/>
    <w:pPr>
      <w:keepNext/>
      <w:keepLines/>
      <w:spacing w:before="120"/>
      <w:ind w:left="1413" w:hanging="963"/>
      <w:outlineLvl w:val="2"/>
    </w:pPr>
    <w:rPr>
      <w:rFonts w:ascii="Times" w:hAnsi="Times"/>
      <w:snapToGrid w:val="0"/>
      <w:sz w:val="22"/>
    </w:rPr>
  </w:style>
  <w:style w:type="paragraph" w:styleId="NormalWeb">
    <w:name w:val="Normal (Web)"/>
    <w:basedOn w:val="Normal"/>
    <w:uiPriority w:val="99"/>
    <w:semiHidden/>
    <w:unhideWhenUsed/>
    <w:rsid w:val="006F11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eader" Target="header2.xml"/><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Khelifa Mazouz</dc:creator>
  <cp:keywords/>
  <dc:description/>
  <cp:lastModifiedBy>Khelifa Mazouz</cp:lastModifiedBy>
  <cp:revision>2</cp:revision>
  <dcterms:created xsi:type="dcterms:W3CDTF">2023-10-13T15:57:00Z</dcterms:created>
  <dcterms:modified xsi:type="dcterms:W3CDTF">2023-10-13T15:57:00Z</dcterms:modified>
</cp:coreProperties>
</file>