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86" w:rsidRPr="00864386" w:rsidRDefault="00864386" w:rsidP="00D7317F">
      <w:pPr>
        <w:spacing w:line="360" w:lineRule="auto"/>
        <w:ind w:firstLine="708"/>
        <w:rPr>
          <w:rFonts w:asciiTheme="majorBidi" w:hAnsiTheme="majorBidi" w:cstheme="majorBidi"/>
          <w:b/>
          <w:bCs/>
          <w:sz w:val="28"/>
          <w:szCs w:val="28"/>
          <w:shd w:val="clear" w:color="auto" w:fill="FFFFFF"/>
        </w:rPr>
      </w:pPr>
      <w:r w:rsidRPr="00864386">
        <w:rPr>
          <w:rFonts w:asciiTheme="majorBidi" w:hAnsiTheme="majorBidi" w:cstheme="majorBidi"/>
          <w:b/>
          <w:bCs/>
          <w:sz w:val="28"/>
          <w:szCs w:val="28"/>
          <w:shd w:val="clear" w:color="auto" w:fill="FFFFFF"/>
        </w:rPr>
        <w:t xml:space="preserve">L’enseignant : CHAABNA  Salah           Université de Bejaia  </w:t>
      </w:r>
    </w:p>
    <w:p w:rsidR="00864386" w:rsidRPr="00864386" w:rsidRDefault="00864386" w:rsidP="00D7317F">
      <w:pPr>
        <w:spacing w:line="360" w:lineRule="auto"/>
        <w:ind w:firstLine="708"/>
        <w:rPr>
          <w:rFonts w:asciiTheme="majorBidi" w:hAnsiTheme="majorBidi" w:cstheme="majorBidi"/>
          <w:b/>
          <w:bCs/>
          <w:sz w:val="28"/>
          <w:szCs w:val="28"/>
          <w:shd w:val="clear" w:color="auto" w:fill="FFFFFF"/>
        </w:rPr>
      </w:pPr>
      <w:r w:rsidRPr="00864386">
        <w:rPr>
          <w:rFonts w:asciiTheme="majorBidi" w:hAnsiTheme="majorBidi" w:cstheme="majorBidi"/>
          <w:b/>
          <w:bCs/>
          <w:sz w:val="28"/>
          <w:szCs w:val="28"/>
          <w:shd w:val="clear" w:color="auto" w:fill="FFFFFF"/>
        </w:rPr>
        <w:t>Module : C.E.E</w:t>
      </w:r>
      <w:r>
        <w:rPr>
          <w:rFonts w:asciiTheme="majorBidi" w:hAnsiTheme="majorBidi" w:cstheme="majorBidi"/>
          <w:b/>
          <w:bCs/>
          <w:sz w:val="28"/>
          <w:szCs w:val="28"/>
          <w:shd w:val="clear" w:color="auto" w:fill="FFFFFF"/>
        </w:rPr>
        <w:t xml:space="preserve">     </w:t>
      </w:r>
      <w:r w:rsidRPr="00864386">
        <w:rPr>
          <w:rFonts w:asciiTheme="majorBidi" w:hAnsiTheme="majorBidi" w:cstheme="majorBidi"/>
          <w:b/>
          <w:bCs/>
          <w:sz w:val="28"/>
          <w:szCs w:val="28"/>
          <w:shd w:val="clear" w:color="auto" w:fill="FFFFFF"/>
        </w:rPr>
        <w:t xml:space="preserve">Niveau : L1- G. 02 </w:t>
      </w:r>
      <w:r>
        <w:rPr>
          <w:rFonts w:asciiTheme="majorBidi" w:hAnsiTheme="majorBidi" w:cstheme="majorBidi"/>
          <w:b/>
          <w:bCs/>
          <w:sz w:val="28"/>
          <w:szCs w:val="28"/>
          <w:shd w:val="clear" w:color="auto" w:fill="FFFFFF"/>
        </w:rPr>
        <w:t xml:space="preserve"> - Année universitaire 2023/2024</w:t>
      </w:r>
    </w:p>
    <w:p w:rsidR="00D66671" w:rsidRPr="00883B61" w:rsidRDefault="00D66671" w:rsidP="00BD1EFD">
      <w:pPr>
        <w:spacing w:line="360" w:lineRule="auto"/>
        <w:ind w:firstLine="708"/>
        <w:rPr>
          <w:rFonts w:asciiTheme="majorBidi" w:hAnsiTheme="majorBidi" w:cstheme="majorBidi"/>
          <w:sz w:val="28"/>
          <w:szCs w:val="28"/>
          <w:shd w:val="clear" w:color="auto" w:fill="FFFFFF"/>
        </w:rPr>
      </w:pPr>
      <w:r w:rsidRPr="00883B61">
        <w:rPr>
          <w:rFonts w:asciiTheme="majorBidi" w:hAnsiTheme="majorBidi" w:cstheme="majorBidi"/>
          <w:sz w:val="28"/>
          <w:szCs w:val="28"/>
          <w:shd w:val="clear" w:color="auto" w:fill="FFFFFF"/>
        </w:rPr>
        <w:t>Une </w:t>
      </w:r>
      <w:r w:rsidRPr="00883B61">
        <w:rPr>
          <w:rFonts w:asciiTheme="majorBidi" w:hAnsiTheme="majorBidi" w:cstheme="majorBidi"/>
          <w:b/>
          <w:bCs/>
          <w:sz w:val="28"/>
          <w:szCs w:val="28"/>
          <w:shd w:val="clear" w:color="auto" w:fill="FFFFFF"/>
        </w:rPr>
        <w:t>affiche</w:t>
      </w:r>
      <w:r w:rsidRPr="00883B61">
        <w:rPr>
          <w:rFonts w:asciiTheme="majorBidi" w:hAnsiTheme="majorBidi" w:cstheme="majorBidi"/>
          <w:sz w:val="28"/>
          <w:szCs w:val="28"/>
          <w:shd w:val="clear" w:color="auto" w:fill="FFFFFF"/>
        </w:rPr>
        <w:t> est un support de </w:t>
      </w:r>
      <w:hyperlink r:id="rId5" w:tooltip="Publicité" w:history="1">
        <w:r w:rsidRPr="00883B61">
          <w:rPr>
            <w:rStyle w:val="Lienhypertexte"/>
            <w:rFonts w:asciiTheme="majorBidi" w:hAnsiTheme="majorBidi" w:cstheme="majorBidi"/>
            <w:color w:val="auto"/>
            <w:sz w:val="28"/>
            <w:szCs w:val="28"/>
            <w:u w:val="none"/>
            <w:shd w:val="clear" w:color="auto" w:fill="FFFFFF"/>
          </w:rPr>
          <w:t>publicité</w:t>
        </w:r>
      </w:hyperlink>
      <w:r w:rsidRPr="00883B61">
        <w:rPr>
          <w:rFonts w:asciiTheme="majorBidi" w:hAnsiTheme="majorBidi" w:cstheme="majorBidi"/>
          <w:sz w:val="28"/>
          <w:szCs w:val="28"/>
          <w:shd w:val="clear" w:color="auto" w:fill="FFFFFF"/>
        </w:rPr>
        <w:t> ou de </w:t>
      </w:r>
      <w:hyperlink r:id="rId6" w:tooltip="Propagande" w:history="1">
        <w:r w:rsidRPr="00883B61">
          <w:rPr>
            <w:rStyle w:val="Lienhypertexte"/>
            <w:rFonts w:asciiTheme="majorBidi" w:hAnsiTheme="majorBidi" w:cstheme="majorBidi"/>
            <w:color w:val="auto"/>
            <w:sz w:val="28"/>
            <w:szCs w:val="28"/>
            <w:u w:val="none"/>
            <w:shd w:val="clear" w:color="auto" w:fill="FFFFFF"/>
          </w:rPr>
          <w:t>propagande</w:t>
        </w:r>
      </w:hyperlink>
      <w:r w:rsidRPr="00883B61">
        <w:rPr>
          <w:rFonts w:asciiTheme="majorBidi" w:hAnsiTheme="majorBidi" w:cstheme="majorBidi"/>
          <w:sz w:val="28"/>
          <w:szCs w:val="28"/>
          <w:shd w:val="clear" w:color="auto" w:fill="FFFFFF"/>
        </w:rPr>
        <w:t> destiné à être vu dans la rue et plus généralement dans les espaces publics. Imprimée sur papier, du tissu ou des supports synthétiques, elle adopte des dimensions variables, pouvant aller jusqu'à plusieurs mètres. L'invention de l'imprimerie vers 1450 permet l'éclosion de l'affiche au sens moderne. Au </w:t>
      </w:r>
      <w:r w:rsidR="002F3BCC" w:rsidRPr="00883B61">
        <w:rPr>
          <w:rStyle w:val="romain"/>
          <w:rFonts w:asciiTheme="majorBidi" w:hAnsiTheme="majorBidi" w:cstheme="majorBidi"/>
          <w:smallCaps/>
          <w:sz w:val="28"/>
          <w:szCs w:val="28"/>
        </w:rPr>
        <w:t>XVI</w:t>
      </w:r>
      <w:r w:rsidR="002F3BCC" w:rsidRPr="00883B61">
        <w:rPr>
          <w:rFonts w:asciiTheme="majorBidi" w:hAnsiTheme="majorBidi" w:cstheme="majorBidi"/>
          <w:sz w:val="28"/>
          <w:szCs w:val="28"/>
          <w:vertAlign w:val="superscript"/>
        </w:rPr>
        <w:t>e</w:t>
      </w:r>
      <w:r w:rsidRPr="00883B61">
        <w:rPr>
          <w:rFonts w:asciiTheme="majorBidi" w:hAnsiTheme="majorBidi" w:cstheme="majorBidi"/>
          <w:sz w:val="28"/>
          <w:szCs w:val="28"/>
          <w:shd w:val="clear" w:color="auto" w:fill="FFFFFF"/>
        </w:rPr>
        <w:t> siècle, naissent les affiches destinées aux spectacles </w:t>
      </w:r>
      <w:hyperlink r:id="rId7" w:history="1">
        <w:r w:rsidRPr="00883B61">
          <w:rPr>
            <w:rStyle w:val="Lienhypertexte"/>
            <w:rFonts w:asciiTheme="majorBidi" w:hAnsiTheme="majorBidi" w:cstheme="majorBidi"/>
            <w:color w:val="auto"/>
            <w:sz w:val="28"/>
            <w:szCs w:val="28"/>
            <w:shd w:val="clear" w:color="auto" w:fill="FFFFFF"/>
          </w:rPr>
          <w:t>forains</w:t>
        </w:r>
      </w:hyperlink>
      <w:r w:rsidRPr="00883B61">
        <w:rPr>
          <w:rFonts w:asciiTheme="majorBidi" w:hAnsiTheme="majorBidi" w:cstheme="majorBidi"/>
          <w:sz w:val="28"/>
          <w:szCs w:val="28"/>
          <w:shd w:val="clear" w:color="auto" w:fill="FFFFFF"/>
        </w:rPr>
        <w:t>, aux </w:t>
      </w:r>
      <w:hyperlink r:id="rId8" w:tooltip="Loteries" w:history="1">
        <w:r w:rsidRPr="00883B61">
          <w:rPr>
            <w:rStyle w:val="Lienhypertexte"/>
            <w:rFonts w:asciiTheme="majorBidi" w:hAnsiTheme="majorBidi" w:cstheme="majorBidi"/>
            <w:color w:val="auto"/>
            <w:sz w:val="28"/>
            <w:szCs w:val="28"/>
            <w:shd w:val="clear" w:color="auto" w:fill="FFFFFF"/>
          </w:rPr>
          <w:t>loteries</w:t>
        </w:r>
      </w:hyperlink>
      <w:r w:rsidRPr="00883B61">
        <w:rPr>
          <w:rFonts w:asciiTheme="majorBidi" w:hAnsiTheme="majorBidi" w:cstheme="majorBidi"/>
          <w:sz w:val="28"/>
          <w:szCs w:val="28"/>
          <w:shd w:val="clear" w:color="auto" w:fill="FFFFFF"/>
        </w:rPr>
        <w:t>, mais aussi aux protestations de nature politique et religieuse. Le pouvoir politique décide d'en contrôler l'usage</w:t>
      </w:r>
    </w:p>
    <w:p w:rsidR="00D66671" w:rsidRPr="00883B61" w:rsidRDefault="00D66671" w:rsidP="00BD1EFD">
      <w:pPr>
        <w:pBdr>
          <w:bottom w:val="dotted" w:sz="6" w:space="0" w:color="AAAAAA"/>
        </w:pBdr>
        <w:shd w:val="clear" w:color="auto" w:fill="FFFFFF"/>
        <w:spacing w:before="72" w:after="0" w:line="360" w:lineRule="auto"/>
        <w:outlineLvl w:val="2"/>
        <w:rPr>
          <w:rFonts w:asciiTheme="majorBidi" w:eastAsia="Times New Roman" w:hAnsiTheme="majorBidi" w:cstheme="majorBidi"/>
          <w:sz w:val="28"/>
          <w:szCs w:val="28"/>
          <w:lang w:eastAsia="fr-FR"/>
        </w:rPr>
      </w:pPr>
      <w:r w:rsidRPr="00883B61">
        <w:rPr>
          <w:rFonts w:asciiTheme="majorBidi" w:eastAsia="Times New Roman" w:hAnsiTheme="majorBidi" w:cstheme="majorBidi"/>
          <w:sz w:val="28"/>
          <w:szCs w:val="28"/>
          <w:lang w:eastAsia="fr-FR"/>
        </w:rPr>
        <w:t> </w:t>
      </w:r>
    </w:p>
    <w:p w:rsidR="00D66671" w:rsidRPr="00883B61" w:rsidRDefault="00D66671" w:rsidP="00BD1EFD">
      <w:pPr>
        <w:shd w:val="clear" w:color="auto" w:fill="FFFFFF"/>
        <w:spacing w:before="120" w:after="120" w:line="360" w:lineRule="auto"/>
        <w:rPr>
          <w:rFonts w:asciiTheme="majorBidi" w:eastAsia="Times New Roman" w:hAnsiTheme="majorBidi" w:cstheme="majorBidi"/>
          <w:sz w:val="28"/>
          <w:szCs w:val="28"/>
          <w:lang w:eastAsia="fr-FR"/>
        </w:rPr>
      </w:pPr>
      <w:r w:rsidRPr="00883B61">
        <w:rPr>
          <w:rFonts w:asciiTheme="majorBidi" w:eastAsia="Times New Roman" w:hAnsiTheme="majorBidi" w:cstheme="majorBidi"/>
          <w:sz w:val="28"/>
          <w:szCs w:val="28"/>
          <w:lang w:eastAsia="fr-FR"/>
        </w:rPr>
        <w:t>Après la Seconde Guerre mondiale, cette technique d'expression est marquée par l'émergence de fortes personnalités et d'écoles, portées par les bouleversements sociaux-politiques que constituent, dans un premier temps, la </w:t>
      </w:r>
      <w:hyperlink r:id="rId9" w:tooltip="Guerre froide" w:history="1">
        <w:r w:rsidRPr="00883B61">
          <w:rPr>
            <w:rFonts w:asciiTheme="majorBidi" w:eastAsia="Times New Roman" w:hAnsiTheme="majorBidi" w:cstheme="majorBidi"/>
            <w:sz w:val="28"/>
            <w:szCs w:val="28"/>
            <w:lang w:eastAsia="fr-FR"/>
          </w:rPr>
          <w:t>Guerre froide</w:t>
        </w:r>
      </w:hyperlink>
      <w:r w:rsidRPr="00883B61">
        <w:rPr>
          <w:rFonts w:asciiTheme="majorBidi" w:eastAsia="Times New Roman" w:hAnsiTheme="majorBidi" w:cstheme="majorBidi"/>
          <w:sz w:val="28"/>
          <w:szCs w:val="28"/>
          <w:lang w:eastAsia="fr-FR"/>
        </w:rPr>
        <w:t xml:space="preserve"> et la libération des mœurs au tournant des années 1960, puis l'apparition de nouveaux outils d'impression et de communication. </w:t>
      </w:r>
    </w:p>
    <w:p w:rsidR="00D7317F" w:rsidRPr="00883B61" w:rsidRDefault="00D7317F" w:rsidP="00D7317F">
      <w:pPr>
        <w:shd w:val="clear" w:color="auto" w:fill="FFFFFF"/>
        <w:spacing w:before="100" w:beforeAutospacing="1" w:after="24" w:line="360" w:lineRule="auto"/>
        <w:ind w:left="384"/>
        <w:rPr>
          <w:rFonts w:asciiTheme="majorBidi" w:eastAsia="Times New Roman" w:hAnsiTheme="majorBidi" w:cstheme="majorBidi"/>
          <w:sz w:val="28"/>
          <w:szCs w:val="28"/>
          <w:lang w:eastAsia="fr-FR"/>
        </w:rPr>
      </w:pPr>
    </w:p>
    <w:p w:rsidR="00D7317F" w:rsidRPr="00883B61" w:rsidRDefault="00D7317F" w:rsidP="00E15989">
      <w:pPr>
        <w:shd w:val="clear" w:color="auto" w:fill="FFFFFF"/>
        <w:spacing w:before="120" w:after="120" w:line="360" w:lineRule="auto"/>
        <w:ind w:firstLine="708"/>
        <w:rPr>
          <w:rFonts w:asciiTheme="majorBidi" w:eastAsia="Times New Roman" w:hAnsiTheme="majorBidi" w:cstheme="majorBidi"/>
          <w:sz w:val="28"/>
          <w:szCs w:val="28"/>
          <w:lang w:eastAsia="fr-FR"/>
        </w:rPr>
      </w:pPr>
      <w:r w:rsidRPr="00883B61">
        <w:rPr>
          <w:rFonts w:asciiTheme="majorBidi" w:eastAsia="Times New Roman" w:hAnsiTheme="majorBidi" w:cstheme="majorBidi"/>
          <w:sz w:val="28"/>
          <w:szCs w:val="28"/>
          <w:lang w:eastAsia="fr-FR"/>
        </w:rPr>
        <w:t xml:space="preserve">Face à la mondialisation des messages publicitaires et à la prééminence des images télévisuelles, effectives dès avant 1968, l'affiche va demeurer un îlot de résistance tant sur le plan graphique que sur le plan culturel et </w:t>
      </w:r>
      <w:proofErr w:type="spellStart"/>
      <w:r w:rsidRPr="00883B61">
        <w:rPr>
          <w:rFonts w:asciiTheme="majorBidi" w:eastAsia="Times New Roman" w:hAnsiTheme="majorBidi" w:cstheme="majorBidi"/>
          <w:sz w:val="28"/>
          <w:szCs w:val="28"/>
          <w:lang w:eastAsia="fr-FR"/>
        </w:rPr>
        <w:t>socio-politique</w:t>
      </w:r>
      <w:proofErr w:type="spellEnd"/>
      <w:r w:rsidRPr="00883B61">
        <w:rPr>
          <w:rFonts w:asciiTheme="majorBidi" w:eastAsia="Times New Roman" w:hAnsiTheme="majorBidi" w:cstheme="majorBidi"/>
          <w:sz w:val="28"/>
          <w:szCs w:val="28"/>
          <w:lang w:eastAsia="fr-FR"/>
        </w:rPr>
        <w:t>.</w:t>
      </w:r>
    </w:p>
    <w:p w:rsidR="00D7317F" w:rsidRPr="00883B61" w:rsidRDefault="00D7317F" w:rsidP="00D7317F">
      <w:pPr>
        <w:shd w:val="clear" w:color="auto" w:fill="FFFFFF"/>
        <w:spacing w:before="120" w:after="120" w:line="360" w:lineRule="auto"/>
        <w:rPr>
          <w:rFonts w:asciiTheme="majorBidi" w:eastAsia="Times New Roman" w:hAnsiTheme="majorBidi" w:cstheme="majorBidi"/>
          <w:sz w:val="28"/>
          <w:szCs w:val="28"/>
          <w:lang w:eastAsia="fr-FR"/>
        </w:rPr>
      </w:pPr>
      <w:r w:rsidRPr="00883B61">
        <w:rPr>
          <w:rFonts w:asciiTheme="majorBidi" w:eastAsia="Times New Roman" w:hAnsiTheme="majorBidi" w:cstheme="majorBidi"/>
          <w:sz w:val="28"/>
          <w:szCs w:val="28"/>
          <w:lang w:eastAsia="fr-FR"/>
        </w:rPr>
        <w:t>L'affiche culturelle, qui embrasse par exemple les </w:t>
      </w:r>
      <w:hyperlink r:id="rId10" w:tooltip="Arts vivants" w:history="1">
        <w:r w:rsidRPr="00883B61">
          <w:rPr>
            <w:rFonts w:asciiTheme="majorBidi" w:eastAsia="Times New Roman" w:hAnsiTheme="majorBidi" w:cstheme="majorBidi"/>
            <w:sz w:val="28"/>
            <w:szCs w:val="28"/>
            <w:lang w:eastAsia="fr-FR"/>
          </w:rPr>
          <w:t>arts vivants</w:t>
        </w:r>
      </w:hyperlink>
      <w:r w:rsidRPr="00883B61">
        <w:rPr>
          <w:rFonts w:asciiTheme="majorBidi" w:eastAsia="Times New Roman" w:hAnsiTheme="majorBidi" w:cstheme="majorBidi"/>
          <w:sz w:val="28"/>
          <w:szCs w:val="28"/>
          <w:lang w:eastAsia="fr-FR"/>
        </w:rPr>
        <w:t xml:space="preserve">, le cinéma indépendant, les expositions d'art contemporain, et plus généralement, des événements de courte durée impliquant des créateurs – qui ne sont pas d'ailleurs nécessairement en marge des politiques culturelles nationales ou locales –, connaît dans les années 1970 une forte expressivité qui ne laisse pas indifférent </w:t>
      </w:r>
      <w:r w:rsidRPr="00883B61">
        <w:rPr>
          <w:rFonts w:asciiTheme="majorBidi" w:eastAsia="Times New Roman" w:hAnsiTheme="majorBidi" w:cstheme="majorBidi"/>
          <w:sz w:val="28"/>
          <w:szCs w:val="28"/>
          <w:lang w:eastAsia="fr-FR"/>
        </w:rPr>
        <w:lastRenderedPageBreak/>
        <w:t>les </w:t>
      </w:r>
      <w:hyperlink r:id="rId11" w:tooltip="Pouvoirs publics" w:history="1">
        <w:r w:rsidRPr="00883B61">
          <w:rPr>
            <w:rFonts w:asciiTheme="majorBidi" w:eastAsia="Times New Roman" w:hAnsiTheme="majorBidi" w:cstheme="majorBidi"/>
            <w:sz w:val="28"/>
            <w:szCs w:val="28"/>
            <w:lang w:eastAsia="fr-FR"/>
          </w:rPr>
          <w:t>pouvoirs publics</w:t>
        </w:r>
      </w:hyperlink>
      <w:r w:rsidRPr="00883B61">
        <w:rPr>
          <w:rFonts w:asciiTheme="majorBidi" w:eastAsia="Times New Roman" w:hAnsiTheme="majorBidi" w:cstheme="majorBidi"/>
          <w:sz w:val="28"/>
          <w:szCs w:val="28"/>
          <w:lang w:eastAsia="fr-FR"/>
        </w:rPr>
        <w:t>. Un </w:t>
      </w:r>
      <w:hyperlink r:id="rId12" w:tooltip="Musée de la Publicité" w:history="1">
        <w:r w:rsidRPr="00883B61">
          <w:rPr>
            <w:rFonts w:asciiTheme="majorBidi" w:eastAsia="Times New Roman" w:hAnsiTheme="majorBidi" w:cstheme="majorBidi"/>
            <w:sz w:val="28"/>
            <w:szCs w:val="28"/>
            <w:lang w:eastAsia="fr-FR"/>
          </w:rPr>
          <w:t>Musée de l'Affiche</w:t>
        </w:r>
      </w:hyperlink>
      <w:r w:rsidRPr="00883B61">
        <w:rPr>
          <w:rFonts w:asciiTheme="majorBidi" w:eastAsia="Times New Roman" w:hAnsiTheme="majorBidi" w:cstheme="majorBidi"/>
          <w:sz w:val="28"/>
          <w:szCs w:val="28"/>
          <w:lang w:eastAsia="fr-FR"/>
        </w:rPr>
        <w:t> est ainsi inauguré à Paris en 1972, un temps dirigé par </w:t>
      </w:r>
      <w:hyperlink r:id="rId13" w:tooltip="Alain Weill (critique d'art)" w:history="1">
        <w:r w:rsidRPr="00883B61">
          <w:rPr>
            <w:rFonts w:asciiTheme="majorBidi" w:eastAsia="Times New Roman" w:hAnsiTheme="majorBidi" w:cstheme="majorBidi"/>
            <w:sz w:val="28"/>
            <w:szCs w:val="28"/>
            <w:lang w:eastAsia="fr-FR"/>
          </w:rPr>
          <w:t>Alain Weill</w:t>
        </w:r>
      </w:hyperlink>
      <w:r w:rsidRPr="00883B61">
        <w:rPr>
          <w:rFonts w:asciiTheme="majorBidi" w:eastAsia="Times New Roman" w:hAnsiTheme="majorBidi" w:cstheme="majorBidi"/>
          <w:sz w:val="28"/>
          <w:szCs w:val="28"/>
          <w:lang w:eastAsia="fr-FR"/>
        </w:rPr>
        <w:t>. La </w:t>
      </w:r>
      <w:hyperlink r:id="rId14" w:tooltip="Bibliothèque nationale de France" w:history="1">
        <w:r w:rsidRPr="00883B61">
          <w:rPr>
            <w:rFonts w:asciiTheme="majorBidi" w:eastAsia="Times New Roman" w:hAnsiTheme="majorBidi" w:cstheme="majorBidi"/>
            <w:sz w:val="28"/>
            <w:szCs w:val="28"/>
            <w:lang w:eastAsia="fr-FR"/>
          </w:rPr>
          <w:t>Bibliothèque nationale</w:t>
        </w:r>
      </w:hyperlink>
      <w:r w:rsidRPr="00883B61">
        <w:rPr>
          <w:rFonts w:asciiTheme="majorBidi" w:eastAsia="Times New Roman" w:hAnsiTheme="majorBidi" w:cstheme="majorBidi"/>
          <w:sz w:val="28"/>
          <w:szCs w:val="28"/>
          <w:lang w:eastAsia="fr-FR"/>
        </w:rPr>
        <w:t> ouvre un département qui lui est dédié.</w:t>
      </w:r>
    </w:p>
    <w:p w:rsidR="00D7317F" w:rsidRPr="00883B61" w:rsidRDefault="00D7317F" w:rsidP="00D7317F">
      <w:pPr>
        <w:shd w:val="clear" w:color="auto" w:fill="FFFFFF"/>
        <w:spacing w:before="120" w:after="120" w:line="360" w:lineRule="auto"/>
        <w:rPr>
          <w:rFonts w:asciiTheme="majorBidi" w:eastAsia="Times New Roman" w:hAnsiTheme="majorBidi" w:cstheme="majorBidi"/>
          <w:sz w:val="28"/>
          <w:szCs w:val="28"/>
          <w:lang w:eastAsia="fr-FR"/>
        </w:rPr>
      </w:pPr>
    </w:p>
    <w:p w:rsidR="00D7317F" w:rsidRPr="00883B61" w:rsidRDefault="00D7317F" w:rsidP="00D7317F">
      <w:pPr>
        <w:pBdr>
          <w:bottom w:val="dotted" w:sz="6" w:space="0" w:color="AAAAAA"/>
        </w:pBdr>
        <w:shd w:val="clear" w:color="auto" w:fill="FFFFFF"/>
        <w:spacing w:before="72" w:after="0" w:line="360" w:lineRule="auto"/>
        <w:outlineLvl w:val="2"/>
        <w:rPr>
          <w:rFonts w:asciiTheme="majorBidi" w:eastAsia="Times New Roman" w:hAnsiTheme="majorBidi" w:cstheme="majorBidi"/>
          <w:b/>
          <w:bCs/>
          <w:sz w:val="28"/>
          <w:szCs w:val="28"/>
          <w:lang w:eastAsia="fr-FR"/>
        </w:rPr>
      </w:pPr>
      <w:r w:rsidRPr="00883B61">
        <w:rPr>
          <w:rFonts w:asciiTheme="majorBidi" w:eastAsia="Times New Roman" w:hAnsiTheme="majorBidi" w:cstheme="majorBidi"/>
          <w:b/>
          <w:bCs/>
          <w:sz w:val="28"/>
          <w:szCs w:val="28"/>
          <w:lang w:eastAsia="fr-FR"/>
        </w:rPr>
        <w:t xml:space="preserve">Un moyen d'information puis d'expression </w:t>
      </w:r>
    </w:p>
    <w:p w:rsidR="00D7317F" w:rsidRPr="00883B61" w:rsidRDefault="00D7317F" w:rsidP="00D7317F">
      <w:pPr>
        <w:spacing w:after="0" w:line="360" w:lineRule="auto"/>
        <w:rPr>
          <w:rFonts w:asciiTheme="majorBidi" w:eastAsia="Times New Roman" w:hAnsiTheme="majorBidi" w:cstheme="majorBidi"/>
          <w:sz w:val="28"/>
          <w:szCs w:val="28"/>
          <w:lang w:eastAsia="fr-FR"/>
        </w:rPr>
      </w:pPr>
      <w:r w:rsidRPr="00883B61">
        <w:rPr>
          <w:rFonts w:asciiTheme="majorBidi" w:eastAsia="Times New Roman" w:hAnsiTheme="majorBidi" w:cstheme="majorBidi"/>
          <w:noProof/>
          <w:sz w:val="28"/>
          <w:szCs w:val="28"/>
          <w:bdr w:val="none" w:sz="0" w:space="0" w:color="auto" w:frame="1"/>
          <w:lang w:eastAsia="fr-FR"/>
        </w:rPr>
        <w:drawing>
          <wp:inline distT="0" distB="0" distL="0" distR="0">
            <wp:extent cx="2095500" cy="2962275"/>
            <wp:effectExtent l="19050" t="0" r="0" b="0"/>
            <wp:docPr id="5" name="Image 5" descr="https://upload.wikimedia.org/wikipedia/commons/thumb/3/34/2011_Japanese_power_saving_poster_03.jpg/220px-2011_Japanese_power_saving_poster_0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3/34/2011_Japanese_power_saving_poster_03.jpg/220px-2011_Japanese_power_saving_poster_03.jpg">
                      <a:hlinkClick r:id="rId15"/>
                    </pic:cNvPr>
                    <pic:cNvPicPr>
                      <a:picLocks noChangeAspect="1" noChangeArrowheads="1"/>
                    </pic:cNvPicPr>
                  </pic:nvPicPr>
                  <pic:blipFill>
                    <a:blip r:embed="rId16"/>
                    <a:srcRect/>
                    <a:stretch>
                      <a:fillRect/>
                    </a:stretch>
                  </pic:blipFill>
                  <pic:spPr bwMode="auto">
                    <a:xfrm>
                      <a:off x="0" y="0"/>
                      <a:ext cx="2095500" cy="2962275"/>
                    </a:xfrm>
                    <a:prstGeom prst="rect">
                      <a:avLst/>
                    </a:prstGeom>
                    <a:noFill/>
                    <a:ln w="9525">
                      <a:noFill/>
                      <a:miter lim="800000"/>
                      <a:headEnd/>
                      <a:tailEnd/>
                    </a:ln>
                  </pic:spPr>
                </pic:pic>
              </a:graphicData>
            </a:graphic>
          </wp:inline>
        </w:drawing>
      </w:r>
      <w:r w:rsidRPr="00883B61">
        <w:rPr>
          <w:rFonts w:asciiTheme="majorBidi" w:eastAsia="Times New Roman" w:hAnsiTheme="majorBidi" w:cstheme="majorBidi"/>
          <w:sz w:val="28"/>
          <w:szCs w:val="28"/>
          <w:lang w:eastAsia="fr-FR"/>
        </w:rPr>
        <w:t>Affiche japonaise (2011) lisible par tous.</w:t>
      </w:r>
    </w:p>
    <w:p w:rsidR="00D7317F" w:rsidRPr="00883B61" w:rsidRDefault="00D7317F" w:rsidP="00D7317F">
      <w:pPr>
        <w:shd w:val="clear" w:color="auto" w:fill="FFFFFF"/>
        <w:spacing w:before="120" w:after="120" w:line="360" w:lineRule="auto"/>
        <w:rPr>
          <w:rFonts w:asciiTheme="majorBidi" w:eastAsia="Times New Roman" w:hAnsiTheme="majorBidi" w:cstheme="majorBidi"/>
          <w:sz w:val="28"/>
          <w:szCs w:val="28"/>
          <w:lang w:eastAsia="fr-FR"/>
        </w:rPr>
      </w:pPr>
      <w:r w:rsidRPr="00883B61">
        <w:rPr>
          <w:rFonts w:asciiTheme="majorBidi" w:eastAsia="Times New Roman" w:hAnsiTheme="majorBidi" w:cstheme="majorBidi"/>
          <w:sz w:val="28"/>
          <w:szCs w:val="28"/>
          <w:lang w:eastAsia="fr-FR"/>
        </w:rPr>
        <w:t>La destination utilitaire de l'affiche implique son efficacité : s'agissant d'être perçue et comprise rapidement par le public, de susciter la sympathie, les concepteurs considérèrent, dès l'époque de </w:t>
      </w:r>
      <w:hyperlink r:id="rId17" w:tooltip="Jules Chéret" w:history="1">
        <w:r w:rsidRPr="00883B61">
          <w:rPr>
            <w:rFonts w:asciiTheme="majorBidi" w:eastAsia="Times New Roman" w:hAnsiTheme="majorBidi" w:cstheme="majorBidi"/>
            <w:sz w:val="28"/>
            <w:szCs w:val="28"/>
            <w:lang w:eastAsia="fr-FR"/>
          </w:rPr>
          <w:t>Jules Chéret</w:t>
        </w:r>
      </w:hyperlink>
      <w:r w:rsidRPr="00883B61">
        <w:rPr>
          <w:rFonts w:asciiTheme="majorBidi" w:eastAsia="Times New Roman" w:hAnsiTheme="majorBidi" w:cstheme="majorBidi"/>
          <w:sz w:val="28"/>
          <w:szCs w:val="28"/>
          <w:lang w:eastAsia="fr-FR"/>
        </w:rPr>
        <w:t>, que l'affiche devait être simple dans son dessin et son texte, ses couleurs devaient être vives et attrayantes, cela dès que la nécessité commerciale est devenue une évidence et que, parallèlement, les techniques d'impression (notamment la </w:t>
      </w:r>
      <w:hyperlink r:id="rId18" w:tooltip="Chromolithographie" w:history="1">
        <w:r w:rsidRPr="00883B61">
          <w:rPr>
            <w:rFonts w:asciiTheme="majorBidi" w:eastAsia="Times New Roman" w:hAnsiTheme="majorBidi" w:cstheme="majorBidi"/>
            <w:sz w:val="28"/>
            <w:szCs w:val="28"/>
            <w:lang w:eastAsia="fr-FR"/>
          </w:rPr>
          <w:t>chromolithographie</w:t>
        </w:r>
      </w:hyperlink>
      <w:r w:rsidRPr="00883B61">
        <w:rPr>
          <w:rFonts w:asciiTheme="majorBidi" w:eastAsia="Times New Roman" w:hAnsiTheme="majorBidi" w:cstheme="majorBidi"/>
          <w:sz w:val="28"/>
          <w:szCs w:val="28"/>
          <w:lang w:eastAsia="fr-FR"/>
        </w:rPr>
        <w:t>) l'ont permis. On a par conséquent fait appel à des artistes, dont le plus connu reste Henri de Toulouse-Lautrec. Si des peintres, des dessinateurs et des lithographes ont ainsi inauguré l'art de l'affiche, d'autres créateurs en ont fait une spécialité à part entière et sont devenus des </w:t>
      </w:r>
      <w:hyperlink r:id="rId19" w:tooltip="Affichistes" w:history="1">
        <w:r w:rsidRPr="00883B61">
          <w:rPr>
            <w:rFonts w:asciiTheme="majorBidi" w:eastAsia="Times New Roman" w:hAnsiTheme="majorBidi" w:cstheme="majorBidi"/>
            <w:sz w:val="28"/>
            <w:szCs w:val="28"/>
            <w:lang w:eastAsia="fr-FR"/>
          </w:rPr>
          <w:t>affichistes</w:t>
        </w:r>
      </w:hyperlink>
      <w:r w:rsidRPr="00883B61">
        <w:rPr>
          <w:rFonts w:asciiTheme="majorBidi" w:eastAsia="Times New Roman" w:hAnsiTheme="majorBidi" w:cstheme="majorBidi"/>
          <w:sz w:val="28"/>
          <w:szCs w:val="28"/>
          <w:lang w:eastAsia="fr-FR"/>
        </w:rPr>
        <w:t>. En Allemagne et aux États-Unis, le mot </w:t>
      </w:r>
      <w:r w:rsidRPr="00883B61">
        <w:rPr>
          <w:rFonts w:asciiTheme="majorBidi" w:eastAsia="Times New Roman" w:hAnsiTheme="majorBidi" w:cstheme="majorBidi"/>
          <w:i/>
          <w:iCs/>
          <w:sz w:val="28"/>
          <w:szCs w:val="28"/>
          <w:lang w:eastAsia="fr-FR"/>
        </w:rPr>
        <w:t>designer graphique</w:t>
      </w:r>
      <w:r w:rsidRPr="00883B61">
        <w:rPr>
          <w:rFonts w:asciiTheme="majorBidi" w:eastAsia="Times New Roman" w:hAnsiTheme="majorBidi" w:cstheme="majorBidi"/>
          <w:sz w:val="28"/>
          <w:szCs w:val="28"/>
          <w:lang w:eastAsia="fr-FR"/>
        </w:rPr>
        <w:t> s'est lui imposé très tôt.</w:t>
      </w:r>
    </w:p>
    <w:p w:rsidR="00D7317F" w:rsidRPr="00883B61" w:rsidRDefault="00D7317F" w:rsidP="00D7317F">
      <w:pPr>
        <w:pStyle w:val="NormalWeb"/>
        <w:shd w:val="clear" w:color="auto" w:fill="FFFFFF"/>
        <w:spacing w:before="120" w:beforeAutospacing="0" w:after="120" w:afterAutospacing="0" w:line="360" w:lineRule="auto"/>
        <w:rPr>
          <w:rFonts w:asciiTheme="majorBidi" w:hAnsiTheme="majorBidi" w:cstheme="majorBidi"/>
          <w:sz w:val="28"/>
          <w:szCs w:val="28"/>
        </w:rPr>
      </w:pPr>
      <w:r w:rsidRPr="00883B61">
        <w:rPr>
          <w:rFonts w:asciiTheme="majorBidi" w:hAnsiTheme="majorBidi" w:cstheme="majorBidi"/>
          <w:sz w:val="28"/>
          <w:szCs w:val="28"/>
        </w:rPr>
        <w:lastRenderedPageBreak/>
        <w:t>À l'origine collée sur les murs, dans les lieux publics (</w:t>
      </w:r>
      <w:hyperlink r:id="rId20" w:tooltip="Colonne Morris" w:history="1">
        <w:r w:rsidRPr="00883B61">
          <w:rPr>
            <w:rStyle w:val="Lienhypertexte"/>
            <w:rFonts w:asciiTheme="majorBidi" w:hAnsiTheme="majorBidi" w:cstheme="majorBidi"/>
            <w:color w:val="auto"/>
            <w:sz w:val="28"/>
            <w:szCs w:val="28"/>
          </w:rPr>
          <w:t>colonne Morris</w:t>
        </w:r>
      </w:hyperlink>
      <w:r w:rsidRPr="00883B61">
        <w:rPr>
          <w:rFonts w:asciiTheme="majorBidi" w:hAnsiTheme="majorBidi" w:cstheme="majorBidi"/>
          <w:sz w:val="28"/>
          <w:szCs w:val="28"/>
        </w:rPr>
        <w:t>, métropolitain, murs dédiés), l'affiche est </w:t>
      </w:r>
      <w:r w:rsidRPr="00883B61">
        <w:rPr>
          <w:rStyle w:val="needref"/>
          <w:rFonts w:asciiTheme="majorBidi" w:hAnsiTheme="majorBidi" w:cstheme="majorBidi"/>
          <w:sz w:val="28"/>
          <w:szCs w:val="28"/>
        </w:rPr>
        <w:t>maintenant</w:t>
      </w:r>
      <w:r w:rsidR="00864386" w:rsidRPr="00883B61">
        <w:rPr>
          <w:rFonts w:asciiTheme="majorBidi" w:hAnsiTheme="majorBidi" w:cstheme="majorBidi"/>
          <w:sz w:val="28"/>
          <w:szCs w:val="28"/>
          <w:vertAlign w:val="superscript"/>
        </w:rPr>
        <w:t xml:space="preserve"> </w:t>
      </w:r>
      <w:r w:rsidRPr="00883B61">
        <w:rPr>
          <w:rFonts w:asciiTheme="majorBidi" w:hAnsiTheme="majorBidi" w:cstheme="majorBidi"/>
          <w:sz w:val="28"/>
          <w:szCs w:val="28"/>
        </w:rPr>
        <w:t>majoritairement apposée sur des emplacements réservés : panneaux d'affichage, colonnes, </w:t>
      </w:r>
      <w:hyperlink r:id="rId21" w:tooltip="Mobilier urbain" w:history="1">
        <w:r w:rsidRPr="00883B61">
          <w:rPr>
            <w:rStyle w:val="Lienhypertexte"/>
            <w:rFonts w:asciiTheme="majorBidi" w:hAnsiTheme="majorBidi" w:cstheme="majorBidi"/>
            <w:color w:val="auto"/>
            <w:sz w:val="28"/>
            <w:szCs w:val="28"/>
          </w:rPr>
          <w:t>mobilier urbain</w:t>
        </w:r>
      </w:hyperlink>
      <w:r w:rsidRPr="00883B61">
        <w:rPr>
          <w:rFonts w:asciiTheme="majorBidi" w:hAnsiTheme="majorBidi" w:cstheme="majorBidi"/>
          <w:sz w:val="28"/>
          <w:szCs w:val="28"/>
        </w:rPr>
        <w:t>, etc. Les affiches de petit format (</w:t>
      </w:r>
      <w:r w:rsidRPr="00883B61">
        <w:rPr>
          <w:rFonts w:asciiTheme="majorBidi" w:hAnsiTheme="majorBidi" w:cstheme="majorBidi"/>
          <w:i/>
          <w:iCs/>
          <w:sz w:val="28"/>
          <w:szCs w:val="28"/>
        </w:rPr>
        <w:t>affichettes</w:t>
      </w:r>
      <w:r w:rsidRPr="00883B61">
        <w:rPr>
          <w:rFonts w:asciiTheme="majorBidi" w:hAnsiTheme="majorBidi" w:cstheme="majorBidi"/>
          <w:sz w:val="28"/>
          <w:szCs w:val="28"/>
        </w:rPr>
        <w:t>) peuvent être placées en intérieur, par exemple dans les vitrines de magasin. L'emplacement d'une affiche est essentiellement fonction de sa taille et conditionne aussi son contenu. La multiplication anarchique de l'affichage tout au long du </w:t>
      </w:r>
      <w:proofErr w:type="spellStart"/>
      <w:r w:rsidRPr="00883B61">
        <w:rPr>
          <w:rStyle w:val="romain"/>
          <w:rFonts w:asciiTheme="majorBidi" w:hAnsiTheme="majorBidi" w:cstheme="majorBidi"/>
          <w:smallCaps/>
          <w:sz w:val="28"/>
          <w:szCs w:val="28"/>
        </w:rPr>
        <w:t>xx</w:t>
      </w:r>
      <w:r w:rsidRPr="00883B61">
        <w:rPr>
          <w:rFonts w:asciiTheme="majorBidi" w:hAnsiTheme="majorBidi" w:cstheme="majorBidi"/>
          <w:sz w:val="28"/>
          <w:szCs w:val="28"/>
          <w:vertAlign w:val="superscript"/>
        </w:rPr>
        <w:t>e</w:t>
      </w:r>
      <w:proofErr w:type="spellEnd"/>
      <w:r w:rsidRPr="00883B61">
        <w:rPr>
          <w:rFonts w:asciiTheme="majorBidi" w:hAnsiTheme="majorBidi" w:cstheme="majorBidi"/>
          <w:sz w:val="28"/>
          <w:szCs w:val="28"/>
        </w:rPr>
        <w:t> siècle a amené les pouvoirs publics à le réglementer de plus en plus, jusqu'au point de reléguer l'affichage </w:t>
      </w:r>
      <w:r w:rsidRPr="00883B61">
        <w:rPr>
          <w:rFonts w:asciiTheme="majorBidi" w:hAnsiTheme="majorBidi" w:cstheme="majorBidi"/>
          <w:i/>
          <w:iCs/>
          <w:sz w:val="28"/>
          <w:szCs w:val="28"/>
        </w:rPr>
        <w:t>sauvage</w:t>
      </w:r>
      <w:r w:rsidRPr="00883B61">
        <w:rPr>
          <w:rFonts w:asciiTheme="majorBidi" w:hAnsiTheme="majorBidi" w:cstheme="majorBidi"/>
          <w:sz w:val="28"/>
          <w:szCs w:val="28"/>
        </w:rPr>
        <w:t> à des espaces réduits et des petits formats. Il en résulte que l'affichage autorisé passe par des sociétés spécialisées (annonceurs), dont les tarifs sont fonction de la qualité des emplacements (situation, visibilité, éclairage nocturne) et de la durée de l'affichage.</w:t>
      </w:r>
    </w:p>
    <w:p w:rsidR="00D66671" w:rsidRPr="00883B61" w:rsidRDefault="00D66671" w:rsidP="00D7317F">
      <w:pPr>
        <w:spacing w:line="360" w:lineRule="auto"/>
        <w:ind w:firstLine="708"/>
        <w:rPr>
          <w:rFonts w:asciiTheme="majorBidi" w:hAnsiTheme="majorBidi" w:cstheme="majorBidi"/>
          <w:sz w:val="28"/>
          <w:szCs w:val="28"/>
        </w:rPr>
      </w:pPr>
    </w:p>
    <w:sectPr w:rsidR="00D66671" w:rsidRPr="00883B61" w:rsidSect="00E22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CA5"/>
    <w:multiLevelType w:val="multilevel"/>
    <w:tmpl w:val="E324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6671"/>
    <w:rsid w:val="000019FA"/>
    <w:rsid w:val="002907B9"/>
    <w:rsid w:val="002F3BCC"/>
    <w:rsid w:val="00500D9B"/>
    <w:rsid w:val="00514623"/>
    <w:rsid w:val="00754D74"/>
    <w:rsid w:val="00864386"/>
    <w:rsid w:val="00883B61"/>
    <w:rsid w:val="008A5720"/>
    <w:rsid w:val="008E2EED"/>
    <w:rsid w:val="009D66DF"/>
    <w:rsid w:val="00AF6583"/>
    <w:rsid w:val="00BD1EFD"/>
    <w:rsid w:val="00C5545B"/>
    <w:rsid w:val="00CF5874"/>
    <w:rsid w:val="00D66671"/>
    <w:rsid w:val="00D7317F"/>
    <w:rsid w:val="00E15989"/>
    <w:rsid w:val="00E22179"/>
    <w:rsid w:val="00E31382"/>
    <w:rsid w:val="00F51E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74"/>
  </w:style>
  <w:style w:type="paragraph" w:styleId="Titre3">
    <w:name w:val="heading 3"/>
    <w:basedOn w:val="Normal"/>
    <w:link w:val="Titre3Car"/>
    <w:uiPriority w:val="9"/>
    <w:qFormat/>
    <w:rsid w:val="00D666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66671"/>
    <w:rPr>
      <w:color w:val="0000FF"/>
      <w:u w:val="single"/>
    </w:rPr>
  </w:style>
  <w:style w:type="character" w:customStyle="1" w:styleId="romain">
    <w:name w:val="romain"/>
    <w:basedOn w:val="Policepardfaut"/>
    <w:rsid w:val="00D66671"/>
  </w:style>
  <w:style w:type="paragraph" w:styleId="NormalWeb">
    <w:name w:val="Normal (Web)"/>
    <w:basedOn w:val="Normal"/>
    <w:uiPriority w:val="99"/>
    <w:semiHidden/>
    <w:unhideWhenUsed/>
    <w:rsid w:val="00D666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dicateur-langue">
    <w:name w:val="indicateur-langue"/>
    <w:basedOn w:val="Policepardfaut"/>
    <w:rsid w:val="00D66671"/>
  </w:style>
  <w:style w:type="character" w:customStyle="1" w:styleId="Titre3Car">
    <w:name w:val="Titre 3 Car"/>
    <w:basedOn w:val="Policepardfaut"/>
    <w:link w:val="Titre3"/>
    <w:uiPriority w:val="9"/>
    <w:rsid w:val="00D6667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D66671"/>
  </w:style>
  <w:style w:type="character" w:customStyle="1" w:styleId="mw-editsection">
    <w:name w:val="mw-editsection"/>
    <w:basedOn w:val="Policepardfaut"/>
    <w:rsid w:val="00D66671"/>
  </w:style>
  <w:style w:type="character" w:customStyle="1" w:styleId="mw-editsection-bracket">
    <w:name w:val="mw-editsection-bracket"/>
    <w:basedOn w:val="Policepardfaut"/>
    <w:rsid w:val="00D66671"/>
  </w:style>
  <w:style w:type="character" w:customStyle="1" w:styleId="mw-editsection-divider">
    <w:name w:val="mw-editsection-divider"/>
    <w:basedOn w:val="Policepardfaut"/>
    <w:rsid w:val="00D66671"/>
  </w:style>
  <w:style w:type="paragraph" w:styleId="Textedebulles">
    <w:name w:val="Balloon Text"/>
    <w:basedOn w:val="Normal"/>
    <w:link w:val="TextedebullesCar"/>
    <w:uiPriority w:val="99"/>
    <w:semiHidden/>
    <w:unhideWhenUsed/>
    <w:rsid w:val="00D666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671"/>
    <w:rPr>
      <w:rFonts w:ascii="Tahoma" w:hAnsi="Tahoma" w:cs="Tahoma"/>
      <w:sz w:val="16"/>
      <w:szCs w:val="16"/>
    </w:rPr>
  </w:style>
  <w:style w:type="character" w:customStyle="1" w:styleId="needref">
    <w:name w:val="need_ref"/>
    <w:basedOn w:val="Policepardfaut"/>
    <w:rsid w:val="00D7317F"/>
  </w:style>
</w:styles>
</file>

<file path=word/webSettings.xml><?xml version="1.0" encoding="utf-8"?>
<w:webSettings xmlns:r="http://schemas.openxmlformats.org/officeDocument/2006/relationships" xmlns:w="http://schemas.openxmlformats.org/wordprocessingml/2006/main">
  <w:divs>
    <w:div w:id="496386692">
      <w:bodyDiv w:val="1"/>
      <w:marLeft w:val="0"/>
      <w:marRight w:val="0"/>
      <w:marTop w:val="0"/>
      <w:marBottom w:val="0"/>
      <w:divBdr>
        <w:top w:val="none" w:sz="0" w:space="0" w:color="auto"/>
        <w:left w:val="none" w:sz="0" w:space="0" w:color="auto"/>
        <w:bottom w:val="none" w:sz="0" w:space="0" w:color="auto"/>
        <w:right w:val="none" w:sz="0" w:space="0" w:color="auto"/>
      </w:divBdr>
    </w:div>
    <w:div w:id="1237589727">
      <w:bodyDiv w:val="1"/>
      <w:marLeft w:val="0"/>
      <w:marRight w:val="0"/>
      <w:marTop w:val="0"/>
      <w:marBottom w:val="0"/>
      <w:divBdr>
        <w:top w:val="none" w:sz="0" w:space="0" w:color="auto"/>
        <w:left w:val="none" w:sz="0" w:space="0" w:color="auto"/>
        <w:bottom w:val="none" w:sz="0" w:space="0" w:color="auto"/>
        <w:right w:val="none" w:sz="0" w:space="0" w:color="auto"/>
      </w:divBdr>
    </w:div>
    <w:div w:id="1255167110">
      <w:bodyDiv w:val="1"/>
      <w:marLeft w:val="0"/>
      <w:marRight w:val="0"/>
      <w:marTop w:val="0"/>
      <w:marBottom w:val="0"/>
      <w:divBdr>
        <w:top w:val="none" w:sz="0" w:space="0" w:color="auto"/>
        <w:left w:val="none" w:sz="0" w:space="0" w:color="auto"/>
        <w:bottom w:val="none" w:sz="0" w:space="0" w:color="auto"/>
        <w:right w:val="none" w:sz="0" w:space="0" w:color="auto"/>
      </w:divBdr>
    </w:div>
    <w:div w:id="1434591876">
      <w:bodyDiv w:val="1"/>
      <w:marLeft w:val="0"/>
      <w:marRight w:val="0"/>
      <w:marTop w:val="0"/>
      <w:marBottom w:val="0"/>
      <w:divBdr>
        <w:top w:val="none" w:sz="0" w:space="0" w:color="auto"/>
        <w:left w:val="none" w:sz="0" w:space="0" w:color="auto"/>
        <w:bottom w:val="none" w:sz="0" w:space="0" w:color="auto"/>
        <w:right w:val="none" w:sz="0" w:space="0" w:color="auto"/>
      </w:divBdr>
    </w:div>
    <w:div w:id="1472669653">
      <w:bodyDiv w:val="1"/>
      <w:marLeft w:val="0"/>
      <w:marRight w:val="0"/>
      <w:marTop w:val="0"/>
      <w:marBottom w:val="0"/>
      <w:divBdr>
        <w:top w:val="none" w:sz="0" w:space="0" w:color="auto"/>
        <w:left w:val="none" w:sz="0" w:space="0" w:color="auto"/>
        <w:bottom w:val="none" w:sz="0" w:space="0" w:color="auto"/>
        <w:right w:val="none" w:sz="0" w:space="0" w:color="auto"/>
      </w:divBdr>
    </w:div>
    <w:div w:id="1707900432">
      <w:bodyDiv w:val="1"/>
      <w:marLeft w:val="0"/>
      <w:marRight w:val="0"/>
      <w:marTop w:val="0"/>
      <w:marBottom w:val="0"/>
      <w:divBdr>
        <w:top w:val="none" w:sz="0" w:space="0" w:color="auto"/>
        <w:left w:val="none" w:sz="0" w:space="0" w:color="auto"/>
        <w:bottom w:val="none" w:sz="0" w:space="0" w:color="auto"/>
        <w:right w:val="none" w:sz="0" w:space="0" w:color="auto"/>
      </w:divBdr>
    </w:div>
    <w:div w:id="20436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oteries" TargetMode="External"/><Relationship Id="rId13" Type="http://schemas.openxmlformats.org/officeDocument/2006/relationships/hyperlink" Target="https://fr.wikipedia.org/wiki/Alain_Weill_(critique_d%27art)" TargetMode="External"/><Relationship Id="rId18" Type="http://schemas.openxmlformats.org/officeDocument/2006/relationships/hyperlink" Target="https://fr.wikipedia.org/wiki/Chromolithographie" TargetMode="External"/><Relationship Id="rId3" Type="http://schemas.openxmlformats.org/officeDocument/2006/relationships/settings" Target="settings.xml"/><Relationship Id="rId21" Type="http://schemas.openxmlformats.org/officeDocument/2006/relationships/hyperlink" Target="https://fr.wikipedia.org/wiki/Mobilier_urbain" TargetMode="External"/><Relationship Id="rId7" Type="http://schemas.openxmlformats.org/officeDocument/2006/relationships/hyperlink" Target="https://fr.wikipedia.org/wiki/Forain" TargetMode="External"/><Relationship Id="rId12" Type="http://schemas.openxmlformats.org/officeDocument/2006/relationships/hyperlink" Target="https://fr.wikipedia.org/wiki/Mus%C3%A9e_de_la_Publicit%C3%A9" TargetMode="External"/><Relationship Id="rId17" Type="http://schemas.openxmlformats.org/officeDocument/2006/relationships/hyperlink" Target="https://fr.wikipedia.org/wiki/Jules_Ch%C3%A9ret"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fr.wikipedia.org/wiki/Colonne_Morris" TargetMode="External"/><Relationship Id="rId1" Type="http://schemas.openxmlformats.org/officeDocument/2006/relationships/numbering" Target="numbering.xml"/><Relationship Id="rId6" Type="http://schemas.openxmlformats.org/officeDocument/2006/relationships/hyperlink" Target="https://fr.wikipedia.org/wiki/Propagande" TargetMode="External"/><Relationship Id="rId11" Type="http://schemas.openxmlformats.org/officeDocument/2006/relationships/hyperlink" Target="https://fr.wikipedia.org/wiki/Pouvoirs_publics" TargetMode="External"/><Relationship Id="rId5" Type="http://schemas.openxmlformats.org/officeDocument/2006/relationships/hyperlink" Target="https://fr.wikipedia.org/wiki/Publicit%C3%A9" TargetMode="External"/><Relationship Id="rId15" Type="http://schemas.openxmlformats.org/officeDocument/2006/relationships/hyperlink" Target="https://commons.wikimedia.org/wiki/File:2011_Japanese_power_saving_poster_03.jpg?uselang=fr" TargetMode="External"/><Relationship Id="rId23" Type="http://schemas.openxmlformats.org/officeDocument/2006/relationships/theme" Target="theme/theme1.xml"/><Relationship Id="rId10" Type="http://schemas.openxmlformats.org/officeDocument/2006/relationships/hyperlink" Target="https://fr.wikipedia.org/wiki/Arts_vivants" TargetMode="External"/><Relationship Id="rId19" Type="http://schemas.openxmlformats.org/officeDocument/2006/relationships/hyperlink" Target="https://fr.wikipedia.org/wiki/Affichistes" TargetMode="External"/><Relationship Id="rId4" Type="http://schemas.openxmlformats.org/officeDocument/2006/relationships/webSettings" Target="webSettings.xml"/><Relationship Id="rId9" Type="http://schemas.openxmlformats.org/officeDocument/2006/relationships/hyperlink" Target="https://fr.wikipedia.org/wiki/Guerre_froide" TargetMode="External"/><Relationship Id="rId14" Type="http://schemas.openxmlformats.org/officeDocument/2006/relationships/hyperlink" Target="https://fr.wikipedia.org/wiki/Biblioth%C3%A8que_nationale_de_Franc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762</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16</cp:revision>
  <dcterms:created xsi:type="dcterms:W3CDTF">2023-09-29T20:46:00Z</dcterms:created>
  <dcterms:modified xsi:type="dcterms:W3CDTF">2023-11-29T10:54:00Z</dcterms:modified>
</cp:coreProperties>
</file>