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166"/>
          <w:tab w:val="left" w:pos="5207"/>
        </w:tabs>
        <w:spacing w:before="1" w:lineRule="auto"/>
        <w:ind w:left="116" w:right="205" w:firstLine="0"/>
        <w:jc w:val="both"/>
        <w:rPr>
          <w:rFonts w:ascii="Teko" w:cs="Teko" w:eastAsia="Teko" w:hAnsi="Teko"/>
          <w:b w:val="1"/>
          <w:sz w:val="24"/>
          <w:szCs w:val="24"/>
        </w:rPr>
      </w:pPr>
      <w:r w:rsidDel="00000000" w:rsidR="00000000" w:rsidRPr="00000000">
        <w:rPr>
          <w:rFonts w:ascii="Teko" w:cs="Teko" w:eastAsia="Teko" w:hAnsi="Teko"/>
          <w:b w:val="1"/>
          <w:color w:val="505050"/>
          <w:sz w:val="24"/>
          <w:szCs w:val="24"/>
          <w:rtl w:val="0"/>
        </w:rPr>
        <w:t xml:space="preserve">Master 2 Sciences du langage</w:t>
        <w:tab/>
        <w:t xml:space="preserve">Pratiques communicationnelles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Simulation d’un enseignement en situation d’apprentissage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La simulation d'enseignement en situation d'apprentissage offre une expérience pratique et immersive aux étudiants, les préparant de manière holistique à leur futur rôle d'enseignant de français. Ce cours vise à développer non seulement leurs compétences linguistiques, mais aussi leurs capacités à créer un environnement d'apprentissage dynamique et interactif.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La préparation d'une fiche de cours est une étape cruciale pour assurer une simulation d'enseignement réussie.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numPr>
          <w:ilvl w:val="0"/>
          <w:numId w:val="2"/>
        </w:numPr>
        <w:tabs>
          <w:tab w:val="left" w:pos="837"/>
        </w:tabs>
        <w:ind w:left="836" w:hanging="361"/>
        <w:jc w:val="both"/>
        <w:rPr/>
      </w:pPr>
      <w:r w:rsidDel="00000000" w:rsidR="00000000" w:rsidRPr="00000000">
        <w:rPr>
          <w:color w:val="6f2f9f"/>
          <w:rtl w:val="0"/>
        </w:rPr>
        <w:t xml:space="preserve">Qu’est-ce qu’une fiche pédagogique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116" w:firstLine="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505050"/>
          <w:sz w:val="24"/>
          <w:szCs w:val="24"/>
          <w:u w:val="none"/>
          <w:shd w:fill="auto" w:val="clear"/>
          <w:vertAlign w:val="baseline"/>
          <w:rtl w:val="0"/>
        </w:rPr>
        <w:t xml:space="preserve">La fiche pédagogique, ou fiche de préparation, est la représentation formalisée d'une situation pédagogique à venir. Elle permet à celui qui l'établit de réfléchir en amont à la stratégie d'enseignement-apprentissage qu'il souhaite mettre en œuvre. Il s'agit de penser concrètement, dans les cadres contraints de l'espace et du temps, à l'articulation entre les trois actants de toute situation pédagogique : les élèves, l'enseignant et les savoirs scolaires de référence.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Georgia" w:cs="Georgia" w:eastAsia="Georgia" w:hAnsi="Georg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numPr>
          <w:ilvl w:val="0"/>
          <w:numId w:val="2"/>
        </w:numPr>
        <w:tabs>
          <w:tab w:val="left" w:pos="837"/>
        </w:tabs>
        <w:ind w:left="836" w:hanging="361"/>
        <w:rPr/>
      </w:pPr>
      <w:r w:rsidDel="00000000" w:rsidR="00000000" w:rsidRPr="00000000">
        <w:rPr>
          <w:color w:val="6f2f9f"/>
          <w:rtl w:val="0"/>
        </w:rPr>
        <w:t xml:space="preserve">Exemple d’une fiche pédagogique</w:t>
      </w:r>
      <w:r w:rsidDel="00000000" w:rsidR="00000000" w:rsidRPr="00000000">
        <w:rPr>
          <w:rtl w:val="0"/>
        </w:rPr>
      </w:r>
    </w:p>
    <w:p w:rsidR="00000000" w:rsidDel="00000000" w:rsidP="00000000" w:rsidRDefault="00000000" w:rsidRPr="00000000" w14:paraId="0000000C">
      <w:pPr>
        <w:spacing w:before="1" w:line="272" w:lineRule="auto"/>
        <w:ind w:left="116" w:firstLine="0"/>
        <w:rPr>
          <w:b w:val="1"/>
          <w:sz w:val="24"/>
          <w:szCs w:val="24"/>
        </w:rPr>
      </w:pPr>
      <w:r w:rsidDel="00000000" w:rsidR="00000000" w:rsidRPr="00000000">
        <w:rPr>
          <w:b w:val="1"/>
          <w:color w:val="505050"/>
          <w:sz w:val="24"/>
          <w:szCs w:val="24"/>
          <w:rtl w:val="0"/>
        </w:rPr>
        <w:t xml:space="preserve">Niveau :</w:t>
      </w:r>
      <w:r w:rsidDel="00000000" w:rsidR="00000000" w:rsidRPr="00000000">
        <w:rPr>
          <w:rtl w:val="0"/>
        </w:rPr>
      </w:r>
    </w:p>
    <w:p w:rsidR="00000000" w:rsidDel="00000000" w:rsidP="00000000" w:rsidRDefault="00000000" w:rsidRPr="00000000" w14:paraId="0000000D">
      <w:pPr>
        <w:pStyle w:val="Heading1"/>
        <w:spacing w:line="272" w:lineRule="auto"/>
        <w:ind w:firstLine="116"/>
        <w:rPr/>
      </w:pPr>
      <w:r w:rsidDel="00000000" w:rsidR="00000000" w:rsidRPr="00000000">
        <w:rPr>
          <w:color w:val="505050"/>
          <w:rtl w:val="0"/>
        </w:rPr>
        <w:t xml:space="preserve">Intitulé du projet :</w:t>
      </w:r>
      <w:r w:rsidDel="00000000" w:rsidR="00000000" w:rsidRPr="00000000">
        <w:rPr>
          <w:rtl w:val="0"/>
        </w:rPr>
      </w:r>
    </w:p>
    <w:p w:rsidR="00000000" w:rsidDel="00000000" w:rsidP="00000000" w:rsidRDefault="00000000" w:rsidRPr="00000000" w14:paraId="0000000E">
      <w:pPr>
        <w:spacing w:before="1" w:lineRule="auto"/>
        <w:ind w:left="116" w:firstLine="0"/>
        <w:rPr>
          <w:b w:val="1"/>
          <w:sz w:val="24"/>
          <w:szCs w:val="24"/>
        </w:rPr>
      </w:pPr>
      <w:r w:rsidDel="00000000" w:rsidR="00000000" w:rsidRPr="00000000">
        <w:rPr>
          <w:b w:val="1"/>
          <w:color w:val="505050"/>
          <w:sz w:val="24"/>
          <w:szCs w:val="24"/>
          <w:rtl w:val="0"/>
        </w:rPr>
        <w:t xml:space="preserve">Intitulé de la séquence :</w:t>
      </w:r>
      <w:r w:rsidDel="00000000" w:rsidR="00000000" w:rsidRPr="00000000">
        <w:rPr>
          <w:rtl w:val="0"/>
        </w:rPr>
      </w:r>
    </w:p>
    <w:p w:rsidR="00000000" w:rsidDel="00000000" w:rsidP="00000000" w:rsidRDefault="00000000" w:rsidRPr="00000000" w14:paraId="0000000F">
      <w:pPr>
        <w:pStyle w:val="Heading1"/>
        <w:spacing w:before="1" w:line="272" w:lineRule="auto"/>
        <w:ind w:firstLine="116"/>
        <w:rPr/>
      </w:pPr>
      <w:r w:rsidDel="00000000" w:rsidR="00000000" w:rsidRPr="00000000">
        <w:rPr>
          <w:color w:val="505050"/>
          <w:rtl w:val="0"/>
        </w:rPr>
        <w:t xml:space="preserve">Intitulé de l’activité d’apprentissage :</w:t>
      </w:r>
      <w:r w:rsidDel="00000000" w:rsidR="00000000" w:rsidRPr="00000000">
        <w:rPr>
          <w:rtl w:val="0"/>
        </w:rPr>
      </w:r>
    </w:p>
    <w:p w:rsidR="00000000" w:rsidDel="00000000" w:rsidP="00000000" w:rsidRDefault="00000000" w:rsidRPr="00000000" w14:paraId="00000010">
      <w:pPr>
        <w:spacing w:line="272" w:lineRule="auto"/>
        <w:ind w:left="116" w:firstLine="0"/>
        <w:rPr>
          <w:b w:val="1"/>
          <w:sz w:val="24"/>
          <w:szCs w:val="24"/>
        </w:rPr>
      </w:pPr>
      <w:r w:rsidDel="00000000" w:rsidR="00000000" w:rsidRPr="00000000">
        <w:rPr>
          <w:b w:val="1"/>
          <w:color w:val="505050"/>
          <w:sz w:val="24"/>
          <w:szCs w:val="24"/>
          <w:rtl w:val="0"/>
        </w:rPr>
        <w:t xml:space="preserve">Support :</w:t>
      </w:r>
      <w:r w:rsidDel="00000000" w:rsidR="00000000" w:rsidRPr="00000000">
        <w:rPr>
          <w:rtl w:val="0"/>
        </w:rPr>
      </w:r>
    </w:p>
    <w:p w:rsidR="00000000" w:rsidDel="00000000" w:rsidP="00000000" w:rsidRDefault="00000000" w:rsidRPr="00000000" w14:paraId="00000011">
      <w:pPr>
        <w:pStyle w:val="Heading1"/>
        <w:ind w:firstLine="116"/>
        <w:rPr>
          <w:b w:val="0"/>
        </w:rPr>
      </w:pPr>
      <w:r w:rsidDel="00000000" w:rsidR="00000000" w:rsidRPr="00000000">
        <w:rPr>
          <w:color w:val="505050"/>
          <w:rtl w:val="0"/>
        </w:rPr>
        <w:t xml:space="preserve">Durée </w:t>
      </w:r>
      <w:r w:rsidDel="00000000" w:rsidR="00000000" w:rsidRPr="00000000">
        <w:rPr>
          <w:b w:val="0"/>
          <w:color w:val="505050"/>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ind w:left="116" w:firstLine="0"/>
        <w:rPr>
          <w:b w:val="1"/>
          <w:sz w:val="24"/>
          <w:szCs w:val="24"/>
        </w:rPr>
      </w:pPr>
      <w:r w:rsidDel="00000000" w:rsidR="00000000" w:rsidRPr="00000000">
        <w:rPr>
          <w:b w:val="1"/>
          <w:color w:val="505050"/>
          <w:sz w:val="24"/>
          <w:szCs w:val="24"/>
          <w:rtl w:val="0"/>
        </w:rPr>
        <w:t xml:space="preserve">Objectifs d’apprentissage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505050"/>
          <w:sz w:val="24"/>
          <w:szCs w:val="24"/>
          <w:u w:val="none"/>
          <w:shd w:fill="auto" w:val="clear"/>
          <w:vertAlign w:val="baseline"/>
          <w:rtl w:val="0"/>
        </w:rPr>
        <w:t xml:space="preserve">L’apprenant capable de /énumérer le(s) objectif(s ) : 1 au minimum et 3 au maximum.</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Georgia" w:cs="Georgia" w:eastAsia="Georgia" w:hAnsi="Georg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spacing w:line="272" w:lineRule="auto"/>
        <w:ind w:firstLine="116"/>
        <w:jc w:val="both"/>
        <w:rPr/>
      </w:pPr>
      <w:r w:rsidDel="00000000" w:rsidR="00000000" w:rsidRPr="00000000">
        <w:rPr>
          <w:color w:val="505050"/>
          <w:rtl w:val="0"/>
        </w:rPr>
        <w:t xml:space="preserve">Déroulement de la séance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7"/>
        </w:tabs>
        <w:spacing w:after="0" w:before="0" w:line="272" w:lineRule="auto"/>
        <w:ind w:left="836" w:right="0" w:hanging="361"/>
        <w:jc w:val="both"/>
        <w:rPr>
          <w:i w:val="0"/>
          <w:smallCaps w:val="0"/>
          <w:strike w:val="0"/>
          <w:u w:val="none"/>
          <w:shd w:fill="auto" w:val="clear"/>
          <w:vertAlign w:val="baseline"/>
        </w:rPr>
      </w:pPr>
      <w:r w:rsidDel="00000000" w:rsidR="00000000" w:rsidRPr="00000000">
        <w:rPr>
          <w:rFonts w:ascii="Georgia" w:cs="Georgia" w:eastAsia="Georgia" w:hAnsi="Georgia"/>
          <w:b w:val="1"/>
          <w:i w:val="0"/>
          <w:smallCaps w:val="0"/>
          <w:strike w:val="0"/>
          <w:color w:val="505050"/>
          <w:sz w:val="24"/>
          <w:szCs w:val="24"/>
          <w:u w:val="none"/>
          <w:shd w:fill="auto" w:val="clear"/>
          <w:vertAlign w:val="baseline"/>
          <w:rtl w:val="0"/>
        </w:rPr>
        <w:t xml:space="preserve">Mise en analyse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114" w:firstLine="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505050"/>
          <w:sz w:val="24"/>
          <w:szCs w:val="24"/>
          <w:u w:val="none"/>
          <w:shd w:fill="auto" w:val="clear"/>
          <w:vertAlign w:val="baseline"/>
          <w:rtl w:val="0"/>
        </w:rPr>
        <w:t xml:space="preserve">A partir de l’exploitation d’un support approprié et d’un jeu de questions / réponses, l’enseignant doit amener l’apprenant à trouver l’intitulé de l’activité et à déduire la règle ou les règles à appliquer pour en maîtriser le fonctionnement.</w:t>
      </w:r>
      <w:r w:rsidDel="00000000" w:rsidR="00000000" w:rsidRPr="00000000">
        <w:rPr>
          <w:rtl w:val="0"/>
        </w:rPr>
      </w:r>
    </w:p>
    <w:p w:rsidR="00000000" w:rsidDel="00000000" w:rsidP="00000000" w:rsidRDefault="00000000" w:rsidRPr="00000000" w14:paraId="00000019">
      <w:pPr>
        <w:pStyle w:val="Heading1"/>
        <w:numPr>
          <w:ilvl w:val="0"/>
          <w:numId w:val="1"/>
        </w:numPr>
        <w:tabs>
          <w:tab w:val="left" w:pos="837"/>
        </w:tabs>
        <w:ind w:left="836" w:hanging="361"/>
        <w:jc w:val="both"/>
        <w:rPr/>
      </w:pPr>
      <w:r w:rsidDel="00000000" w:rsidR="00000000" w:rsidRPr="00000000">
        <w:rPr>
          <w:color w:val="505050"/>
          <w:rtl w:val="0"/>
        </w:rPr>
        <w:t xml:space="preserve">Mise en synthèse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119" w:firstLine="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505050"/>
          <w:sz w:val="24"/>
          <w:szCs w:val="24"/>
          <w:u w:val="none"/>
          <w:shd w:fill="auto" w:val="clear"/>
          <w:vertAlign w:val="baseline"/>
          <w:rtl w:val="0"/>
        </w:rPr>
        <w:t xml:space="preserve">Demander aux apprenants de formuler une synthèse pour vérifier si l’activité est assimilée ou non. Il revient à l’enseignant de reformuler les idées essentielles et d’écrire au tableau la règle ou les règles à retenir.</w:t>
      </w:r>
      <w:r w:rsidDel="00000000" w:rsidR="00000000" w:rsidRPr="00000000">
        <w:rPr>
          <w:rtl w:val="0"/>
        </w:rPr>
      </w:r>
    </w:p>
    <w:p w:rsidR="00000000" w:rsidDel="00000000" w:rsidP="00000000" w:rsidRDefault="00000000" w:rsidRPr="00000000" w14:paraId="0000001B">
      <w:pPr>
        <w:pStyle w:val="Heading1"/>
        <w:numPr>
          <w:ilvl w:val="0"/>
          <w:numId w:val="1"/>
        </w:numPr>
        <w:tabs>
          <w:tab w:val="left" w:pos="837"/>
        </w:tabs>
        <w:spacing w:line="271" w:lineRule="auto"/>
        <w:ind w:left="836" w:hanging="361"/>
        <w:jc w:val="both"/>
        <w:rPr/>
      </w:pPr>
      <w:r w:rsidDel="00000000" w:rsidR="00000000" w:rsidRPr="00000000">
        <w:rPr>
          <w:color w:val="505050"/>
          <w:rtl w:val="0"/>
        </w:rPr>
        <w:t xml:space="preserve">Mise en application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505050"/>
          <w:sz w:val="24"/>
          <w:szCs w:val="24"/>
          <w:u w:val="none"/>
          <w:shd w:fill="auto" w:val="clear"/>
          <w:vertAlign w:val="baseline"/>
          <w:rtl w:val="0"/>
        </w:rPr>
        <w:t xml:space="preserve">Proposer des exercices d’application en prenant en considération le niveau des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Georgia" w:cs="Georgia" w:eastAsia="Georgia" w:hAnsi="Georgia"/>
          <w:b w:val="0"/>
          <w:i w:val="0"/>
          <w:smallCaps w:val="0"/>
          <w:strike w:val="0"/>
          <w:color w:val="000000"/>
          <w:sz w:val="23"/>
          <w:szCs w:val="23"/>
          <w:u w:val="none"/>
          <w:shd w:fill="auto" w:val="clear"/>
          <w:vertAlign w:val="baseline"/>
        </w:rPr>
      </w:pPr>
      <w:r w:rsidDel="00000000" w:rsidR="00000000" w:rsidRPr="00000000">
        <w:rPr>
          <w:rFonts w:ascii="Georgia" w:cs="Georgia" w:eastAsia="Georgia" w:hAnsi="Georgia"/>
          <w:b w:val="0"/>
          <w:i w:val="0"/>
          <w:smallCaps w:val="0"/>
          <w:strike w:val="0"/>
          <w:color w:val="505050"/>
          <w:sz w:val="24"/>
          <w:szCs w:val="24"/>
          <w:u w:val="none"/>
          <w:shd w:fill="auto" w:val="clear"/>
          <w:vertAlign w:val="baseline"/>
          <w:rtl w:val="0"/>
        </w:rPr>
        <w:t xml:space="preserve">apprenants.</w:t>
      </w:r>
      <w:r w:rsidDel="00000000" w:rsidR="00000000" w:rsidRPr="00000000">
        <w:rPr>
          <w:rtl w:val="0"/>
        </w:rPr>
      </w:r>
    </w:p>
    <w:p w:rsidR="00000000" w:rsidDel="00000000" w:rsidP="00000000" w:rsidRDefault="00000000" w:rsidRPr="00000000" w14:paraId="0000001E">
      <w:pPr>
        <w:pStyle w:val="Heading1"/>
        <w:numPr>
          <w:ilvl w:val="0"/>
          <w:numId w:val="2"/>
        </w:numPr>
        <w:tabs>
          <w:tab w:val="left" w:pos="837"/>
        </w:tabs>
        <w:spacing w:before="1" w:lineRule="auto"/>
        <w:ind w:left="836" w:hanging="361"/>
        <w:jc w:val="both"/>
        <w:rPr/>
      </w:pPr>
      <w:r w:rsidDel="00000000" w:rsidR="00000000" w:rsidRPr="00000000">
        <w:rPr>
          <w:color w:val="6f2f9f"/>
          <w:rtl w:val="0"/>
        </w:rPr>
        <w:t xml:space="preserve">Mode d’évaluation de la simulation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118" w:firstLine="0"/>
        <w:jc w:val="both"/>
        <w:rPr>
          <w:color w:val="1a1a1a"/>
          <w:sz w:val="24"/>
          <w:szCs w:val="24"/>
        </w:rPr>
      </w:pPr>
      <w:r w:rsidDel="00000000" w:rsidR="00000000" w:rsidRPr="00000000">
        <w:rPr>
          <w:color w:val="1a1a1a"/>
          <w:sz w:val="24"/>
          <w:szCs w:val="24"/>
          <w:rtl w:val="0"/>
        </w:rPr>
        <w:t xml:space="preserve">L'évaluation de cette simulation est notée comme contrôle continu. Durant les sessions en salle, les étudiants doivent élaborer une fiche pédagogique en suivant un modèle donné et en respectant les directives de l'enseignant du module. Par la suite, ils sont tenus de présenter une leçon en classe, assumant ainsi le rôle d'enseignant. La performance des étudiants est évaluée en fonction de leur participation active à la simulation, de la qualité de la leçon présentée, de leur capacité à gérer les imprévus, ainsi que de leur réflexion post-simulation. </w:t>
      </w:r>
      <w:r w:rsidDel="00000000" w:rsidR="00000000" w:rsidRPr="00000000">
        <w:rPr>
          <w:rtl w:val="0"/>
        </w:rPr>
      </w:r>
    </w:p>
    <w:sectPr>
      <w:headerReference r:id="rId6" w:type="default"/>
      <w:pgSz w:h="16840" w:w="11910" w:orient="portrait"/>
      <w:pgMar w:bottom="280" w:top="1320" w:left="1300" w:right="13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ek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Style w:val="Heading1"/>
      <w:spacing w:before="78" w:lineRule="auto"/>
      <w:ind w:left="0" w:right="2116" w:firstLine="0"/>
      <w:jc w:val="both"/>
      <w:rPr>
        <w:color w:val="505050"/>
      </w:rPr>
    </w:pPr>
    <w:r w:rsidDel="00000000" w:rsidR="00000000" w:rsidRPr="00000000">
      <w:rPr>
        <w:color w:val="505050"/>
        <w:rtl w:val="0"/>
      </w:rPr>
      <w:t xml:space="preserve">                                  Université Abderrahmane Mira de Bejaia </w:t>
    </w:r>
  </w:p>
  <w:p w:rsidR="00000000" w:rsidDel="00000000" w:rsidP="00000000" w:rsidRDefault="00000000" w:rsidRPr="00000000" w14:paraId="00000021">
    <w:pPr>
      <w:pStyle w:val="Heading1"/>
      <w:spacing w:before="78" w:lineRule="auto"/>
      <w:ind w:left="2110" w:right="2116" w:firstLine="0"/>
      <w:jc w:val="center"/>
      <w:rPr>
        <w:color w:val="505050"/>
      </w:rPr>
    </w:pPr>
    <w:bookmarkStart w:colFirst="0" w:colLast="0" w:name="_gjdgxs" w:id="0"/>
    <w:bookmarkEnd w:id="0"/>
    <w:r w:rsidDel="00000000" w:rsidR="00000000" w:rsidRPr="00000000">
      <w:rPr>
        <w:color w:val="505050"/>
        <w:rtl w:val="0"/>
      </w:rPr>
      <w:t xml:space="preserve">Faculté des Lettres et des Langues </w:t>
    </w:r>
  </w:p>
  <w:p w:rsidR="00000000" w:rsidDel="00000000" w:rsidP="00000000" w:rsidRDefault="00000000" w:rsidRPr="00000000" w14:paraId="00000022">
    <w:pPr>
      <w:pStyle w:val="Heading1"/>
      <w:spacing w:before="78" w:lineRule="auto"/>
      <w:ind w:left="2110" w:right="2116" w:firstLine="0"/>
      <w:jc w:val="center"/>
      <w:rPr/>
    </w:pPr>
    <w:bookmarkStart w:colFirst="0" w:colLast="0" w:name="_30j0zll" w:id="1"/>
    <w:bookmarkEnd w:id="1"/>
    <w:r w:rsidDel="00000000" w:rsidR="00000000" w:rsidRPr="00000000">
      <w:rPr>
        <w:color w:val="505050"/>
        <w:rtl w:val="0"/>
      </w:rPr>
      <w:t xml:space="preserve">Département de français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36" w:hanging="360.0000000000001"/>
      </w:pPr>
      <w:rPr>
        <w:rFonts w:ascii="Georgia" w:cs="Georgia" w:eastAsia="Georgia" w:hAnsi="Georgia"/>
        <w:b w:val="1"/>
        <w:color w:val="505050"/>
        <w:sz w:val="24"/>
        <w:szCs w:val="24"/>
      </w:rPr>
    </w:lvl>
    <w:lvl w:ilvl="1">
      <w:start w:val="1"/>
      <w:numFmt w:val="bullet"/>
      <w:lvlText w:val="•"/>
      <w:lvlJc w:val="left"/>
      <w:pPr>
        <w:ind w:left="1686" w:hanging="360"/>
      </w:pPr>
      <w:rPr/>
    </w:lvl>
    <w:lvl w:ilvl="2">
      <w:start w:val="1"/>
      <w:numFmt w:val="bullet"/>
      <w:lvlText w:val="•"/>
      <w:lvlJc w:val="left"/>
      <w:pPr>
        <w:ind w:left="2533" w:hanging="360"/>
      </w:pPr>
      <w:rPr/>
    </w:lvl>
    <w:lvl w:ilvl="3">
      <w:start w:val="1"/>
      <w:numFmt w:val="bullet"/>
      <w:lvlText w:val="•"/>
      <w:lvlJc w:val="left"/>
      <w:pPr>
        <w:ind w:left="3379" w:hanging="360"/>
      </w:pPr>
      <w:rPr/>
    </w:lvl>
    <w:lvl w:ilvl="4">
      <w:start w:val="1"/>
      <w:numFmt w:val="bullet"/>
      <w:lvlText w:val="•"/>
      <w:lvlJc w:val="left"/>
      <w:pPr>
        <w:ind w:left="4226" w:hanging="360"/>
      </w:pPr>
      <w:rPr/>
    </w:lvl>
    <w:lvl w:ilvl="5">
      <w:start w:val="1"/>
      <w:numFmt w:val="bullet"/>
      <w:lvlText w:val="•"/>
      <w:lvlJc w:val="left"/>
      <w:pPr>
        <w:ind w:left="5073" w:hanging="360"/>
      </w:pPr>
      <w:rPr/>
    </w:lvl>
    <w:lvl w:ilvl="6">
      <w:start w:val="1"/>
      <w:numFmt w:val="bullet"/>
      <w:lvlText w:val="•"/>
      <w:lvlJc w:val="left"/>
      <w:pPr>
        <w:ind w:left="5919" w:hanging="360"/>
      </w:pPr>
      <w:rPr/>
    </w:lvl>
    <w:lvl w:ilvl="7">
      <w:start w:val="1"/>
      <w:numFmt w:val="bullet"/>
      <w:lvlText w:val="•"/>
      <w:lvlJc w:val="left"/>
      <w:pPr>
        <w:ind w:left="6766" w:hanging="360"/>
      </w:pPr>
      <w:rPr/>
    </w:lvl>
    <w:lvl w:ilvl="8">
      <w:start w:val="1"/>
      <w:numFmt w:val="bullet"/>
      <w:lvlText w:val="•"/>
      <w:lvlJc w:val="left"/>
      <w:pPr>
        <w:ind w:left="7613" w:hanging="360"/>
      </w:pPr>
      <w:rPr/>
    </w:lvl>
  </w:abstractNum>
  <w:abstractNum w:abstractNumId="2">
    <w:lvl w:ilvl="0">
      <w:start w:val="1"/>
      <w:numFmt w:val="decimal"/>
      <w:lvlText w:val="%1."/>
      <w:lvlJc w:val="left"/>
      <w:pPr>
        <w:ind w:left="836" w:hanging="360.0000000000001"/>
      </w:pPr>
      <w:rPr>
        <w:rFonts w:ascii="Georgia" w:cs="Georgia" w:eastAsia="Georgia" w:hAnsi="Georgia"/>
        <w:b w:val="1"/>
        <w:color w:val="6f2f9f"/>
        <w:sz w:val="24"/>
        <w:szCs w:val="24"/>
      </w:rPr>
    </w:lvl>
    <w:lvl w:ilvl="1">
      <w:start w:val="1"/>
      <w:numFmt w:val="bullet"/>
      <w:lvlText w:val="•"/>
      <w:lvlJc w:val="left"/>
      <w:pPr>
        <w:ind w:left="1686" w:hanging="360"/>
      </w:pPr>
      <w:rPr/>
    </w:lvl>
    <w:lvl w:ilvl="2">
      <w:start w:val="1"/>
      <w:numFmt w:val="bullet"/>
      <w:lvlText w:val="•"/>
      <w:lvlJc w:val="left"/>
      <w:pPr>
        <w:ind w:left="2533" w:hanging="360"/>
      </w:pPr>
      <w:rPr/>
    </w:lvl>
    <w:lvl w:ilvl="3">
      <w:start w:val="1"/>
      <w:numFmt w:val="bullet"/>
      <w:lvlText w:val="•"/>
      <w:lvlJc w:val="left"/>
      <w:pPr>
        <w:ind w:left="3379" w:hanging="360"/>
      </w:pPr>
      <w:rPr/>
    </w:lvl>
    <w:lvl w:ilvl="4">
      <w:start w:val="1"/>
      <w:numFmt w:val="bullet"/>
      <w:lvlText w:val="•"/>
      <w:lvlJc w:val="left"/>
      <w:pPr>
        <w:ind w:left="4226" w:hanging="360"/>
      </w:pPr>
      <w:rPr/>
    </w:lvl>
    <w:lvl w:ilvl="5">
      <w:start w:val="1"/>
      <w:numFmt w:val="bullet"/>
      <w:lvlText w:val="•"/>
      <w:lvlJc w:val="left"/>
      <w:pPr>
        <w:ind w:left="5073" w:hanging="360"/>
      </w:pPr>
      <w:rPr/>
    </w:lvl>
    <w:lvl w:ilvl="6">
      <w:start w:val="1"/>
      <w:numFmt w:val="bullet"/>
      <w:lvlText w:val="•"/>
      <w:lvlJc w:val="left"/>
      <w:pPr>
        <w:ind w:left="5919" w:hanging="360"/>
      </w:pPr>
      <w:rPr/>
    </w:lvl>
    <w:lvl w:ilvl="7">
      <w:start w:val="1"/>
      <w:numFmt w:val="bullet"/>
      <w:lvlText w:val="•"/>
      <w:lvlJc w:val="left"/>
      <w:pPr>
        <w:ind w:left="6766" w:hanging="360"/>
      </w:pPr>
      <w:rPr/>
    </w:lvl>
    <w:lvl w:ilvl="8">
      <w:start w:val="1"/>
      <w:numFmt w:val="bullet"/>
      <w:lvlText w:val="•"/>
      <w:lvlJc w:val="left"/>
      <w:pPr>
        <w:ind w:left="7613"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6"/>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