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309C" w14:textId="77777777" w:rsidR="005519E2" w:rsidRPr="00B649DF" w:rsidRDefault="005519E2" w:rsidP="005519E2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9BE763D" w14:textId="68B620BB" w:rsidR="00B649DF" w:rsidRPr="00B649DF" w:rsidRDefault="00B649DF" w:rsidP="00B649D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649DF">
        <w:rPr>
          <w:rFonts w:asciiTheme="majorBidi" w:hAnsiTheme="majorBidi" w:cstheme="majorBidi"/>
          <w:b/>
          <w:bCs/>
          <w:sz w:val="40"/>
          <w:szCs w:val="40"/>
        </w:rPr>
        <w:t>Programme Du Module</w:t>
      </w:r>
    </w:p>
    <w:p w14:paraId="2837B1A4" w14:textId="77777777" w:rsidR="005519E2" w:rsidRPr="00B649DF" w:rsidRDefault="005519E2" w:rsidP="005519E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2095FFA" w14:textId="6FFB6397" w:rsidR="005519E2" w:rsidRPr="005519E2" w:rsidRDefault="005519E2" w:rsidP="005519E2">
      <w:pPr>
        <w:rPr>
          <w:rFonts w:asciiTheme="majorBidi" w:hAnsiTheme="majorBidi" w:cstheme="majorBidi"/>
          <w:sz w:val="28"/>
          <w:szCs w:val="28"/>
        </w:rPr>
      </w:pPr>
      <w:r w:rsidRPr="005519E2">
        <w:rPr>
          <w:rFonts w:asciiTheme="majorBidi" w:hAnsiTheme="majorBidi" w:cstheme="majorBidi"/>
          <w:b/>
          <w:bCs/>
          <w:sz w:val="28"/>
          <w:szCs w:val="28"/>
        </w:rPr>
        <w:t xml:space="preserve">Chapitre </w:t>
      </w:r>
      <w:r w:rsidR="000A21A5" w:rsidRPr="00B649DF">
        <w:rPr>
          <w:rFonts w:asciiTheme="majorBidi" w:hAnsiTheme="majorBidi" w:cstheme="majorBidi"/>
          <w:b/>
          <w:bCs/>
          <w:sz w:val="28"/>
          <w:szCs w:val="28"/>
        </w:rPr>
        <w:t>1 : Généralité sur l’orientation</w:t>
      </w:r>
    </w:p>
    <w:p w14:paraId="348EE422" w14:textId="23367D4B" w:rsidR="005519E2" w:rsidRPr="00B649DF" w:rsidRDefault="005519E2" w:rsidP="005519E2">
      <w:pPr>
        <w:pStyle w:val="Paragraphedeliste"/>
        <w:numPr>
          <w:ilvl w:val="0"/>
          <w:numId w:val="10"/>
        </w:numPr>
        <w:tabs>
          <w:tab w:val="num" w:pos="720"/>
        </w:tabs>
        <w:jc w:val="both"/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>Définition</w:t>
      </w:r>
      <w:r w:rsidRPr="00B649DF">
        <w:rPr>
          <w:rFonts w:asciiTheme="majorBidi" w:hAnsiTheme="majorBidi" w:cstheme="majorBidi"/>
          <w:sz w:val="28"/>
          <w:szCs w:val="28"/>
        </w:rPr>
        <w:t xml:space="preserve"> </w:t>
      </w:r>
      <w:r w:rsidR="000A21A5" w:rsidRPr="00B649DF">
        <w:rPr>
          <w:rFonts w:asciiTheme="majorBidi" w:hAnsiTheme="majorBidi" w:cstheme="majorBidi"/>
          <w:sz w:val="28"/>
          <w:szCs w:val="28"/>
        </w:rPr>
        <w:t xml:space="preserve">de </w:t>
      </w:r>
      <w:r w:rsidRPr="00B649DF">
        <w:rPr>
          <w:rFonts w:asciiTheme="majorBidi" w:hAnsiTheme="majorBidi" w:cstheme="majorBidi"/>
          <w:sz w:val="28"/>
          <w:szCs w:val="28"/>
        </w:rPr>
        <w:t>L’orientation</w:t>
      </w:r>
      <w:r w:rsidRPr="00B649DF">
        <w:rPr>
          <w:rFonts w:asciiTheme="majorBidi" w:hAnsiTheme="majorBidi" w:cstheme="majorBidi"/>
          <w:sz w:val="28"/>
          <w:szCs w:val="28"/>
        </w:rPr>
        <w:t xml:space="preserve"> professionnelle.</w:t>
      </w:r>
    </w:p>
    <w:p w14:paraId="233723E2" w14:textId="37E83141" w:rsidR="001C77E8" w:rsidRPr="00B649DF" w:rsidRDefault="001C77E8" w:rsidP="005519E2">
      <w:pPr>
        <w:pStyle w:val="Paragraphedeliste"/>
        <w:numPr>
          <w:ilvl w:val="0"/>
          <w:numId w:val="10"/>
        </w:numPr>
        <w:tabs>
          <w:tab w:val="num" w:pos="720"/>
        </w:tabs>
        <w:jc w:val="both"/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 xml:space="preserve">L’évolution dans l’utilisation de l’orientation professionnelle  </w:t>
      </w:r>
    </w:p>
    <w:p w14:paraId="0F7CBE24" w14:textId="21C9F2CA" w:rsidR="005519E2" w:rsidRPr="00B649DF" w:rsidRDefault="005519E2" w:rsidP="005519E2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 xml:space="preserve">Quels sont les objectifs favorisés par l’orientation </w:t>
      </w:r>
      <w:r w:rsidRPr="00B649DF">
        <w:rPr>
          <w:rFonts w:asciiTheme="majorBidi" w:hAnsiTheme="majorBidi" w:cstheme="majorBidi"/>
          <w:sz w:val="28"/>
          <w:szCs w:val="28"/>
        </w:rPr>
        <w:t>professionnelle ?</w:t>
      </w:r>
      <w:r w:rsidRPr="00B649DF">
        <w:rPr>
          <w:rFonts w:asciiTheme="majorBidi" w:hAnsiTheme="majorBidi" w:cstheme="majorBidi"/>
          <w:sz w:val="28"/>
          <w:szCs w:val="28"/>
        </w:rPr>
        <w:t xml:space="preserve"> </w:t>
      </w:r>
    </w:p>
    <w:p w14:paraId="7A21ED86" w14:textId="77777777" w:rsidR="001C77E8" w:rsidRPr="00B649DF" w:rsidRDefault="005519E2" w:rsidP="005519E2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>Quelles sont les approches recommandées</w:t>
      </w:r>
    </w:p>
    <w:p w14:paraId="292354D8" w14:textId="1E76712B" w:rsidR="005519E2" w:rsidRPr="00B649DF" w:rsidRDefault="005519E2" w:rsidP="005519E2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 xml:space="preserve"> </w:t>
      </w:r>
      <w:r w:rsidR="00581129" w:rsidRPr="00B649DF">
        <w:rPr>
          <w:rFonts w:asciiTheme="majorBidi" w:hAnsiTheme="majorBidi" w:cstheme="majorBidi"/>
          <w:sz w:val="28"/>
          <w:szCs w:val="28"/>
        </w:rPr>
        <w:t xml:space="preserve">Les différentes fonctions de l’orientation </w:t>
      </w:r>
    </w:p>
    <w:p w14:paraId="79F4DF7C" w14:textId="4830CF69" w:rsidR="00581129" w:rsidRPr="00B649DF" w:rsidRDefault="00581129" w:rsidP="00581129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 xml:space="preserve">Les frontières de </w:t>
      </w:r>
      <w:r w:rsidRPr="00B649DF">
        <w:rPr>
          <w:rFonts w:asciiTheme="majorBidi" w:hAnsiTheme="majorBidi" w:cstheme="majorBidi"/>
          <w:sz w:val="28"/>
          <w:szCs w:val="28"/>
        </w:rPr>
        <w:t>l’orientation</w:t>
      </w:r>
    </w:p>
    <w:p w14:paraId="5C8D298F" w14:textId="52B0E956" w:rsidR="00581129" w:rsidRPr="00B649DF" w:rsidRDefault="00581129" w:rsidP="00581129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 xml:space="preserve">Les grands modèles de l’orientation professionnelle  </w:t>
      </w:r>
    </w:p>
    <w:p w14:paraId="4A3EDB0B" w14:textId="1A2881BB" w:rsidR="005519E2" w:rsidRPr="005519E2" w:rsidRDefault="005519E2" w:rsidP="005519E2">
      <w:pPr>
        <w:rPr>
          <w:rFonts w:asciiTheme="majorBidi" w:hAnsiTheme="majorBidi" w:cstheme="majorBidi"/>
          <w:sz w:val="28"/>
          <w:szCs w:val="28"/>
        </w:rPr>
      </w:pPr>
    </w:p>
    <w:p w14:paraId="68661FB1" w14:textId="29288AF5" w:rsidR="005519E2" w:rsidRPr="005519E2" w:rsidRDefault="005519E2" w:rsidP="005519E2">
      <w:pPr>
        <w:rPr>
          <w:rFonts w:asciiTheme="majorBidi" w:hAnsiTheme="majorBidi" w:cstheme="majorBidi"/>
          <w:sz w:val="28"/>
          <w:szCs w:val="28"/>
        </w:rPr>
      </w:pPr>
      <w:r w:rsidRPr="005519E2">
        <w:rPr>
          <w:rFonts w:asciiTheme="majorBidi" w:hAnsiTheme="majorBidi" w:cstheme="majorBidi"/>
          <w:b/>
          <w:bCs/>
          <w:sz w:val="28"/>
          <w:szCs w:val="28"/>
        </w:rPr>
        <w:t xml:space="preserve">Chapitre 2 : </w:t>
      </w:r>
      <w:r w:rsidR="000A21A5" w:rsidRPr="00B649DF">
        <w:rPr>
          <w:rFonts w:asciiTheme="majorBidi" w:hAnsiTheme="majorBidi" w:cstheme="majorBidi"/>
          <w:b/>
          <w:bCs/>
          <w:sz w:val="28"/>
          <w:szCs w:val="28"/>
        </w:rPr>
        <w:t xml:space="preserve">L’élaboration des projets </w:t>
      </w:r>
    </w:p>
    <w:p w14:paraId="551D8CD5" w14:textId="1C9F3FD4" w:rsidR="000A21A5" w:rsidRPr="00B649DF" w:rsidRDefault="000A21A5" w:rsidP="000A21A5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>Qu’est-ce que</w:t>
      </w:r>
      <w:r w:rsidRPr="00B649DF">
        <w:rPr>
          <w:rFonts w:asciiTheme="majorBidi" w:hAnsiTheme="majorBidi" w:cstheme="majorBidi"/>
          <w:sz w:val="28"/>
          <w:szCs w:val="28"/>
        </w:rPr>
        <w:t xml:space="preserve"> la construction de projet professionnelle ?</w:t>
      </w:r>
    </w:p>
    <w:p w14:paraId="0411A713" w14:textId="69BB64F9" w:rsidR="005519E2" w:rsidRPr="005519E2" w:rsidRDefault="005519E2" w:rsidP="005519E2">
      <w:pPr>
        <w:rPr>
          <w:rFonts w:asciiTheme="majorBidi" w:hAnsiTheme="majorBidi" w:cstheme="majorBidi"/>
          <w:sz w:val="28"/>
          <w:szCs w:val="28"/>
        </w:rPr>
      </w:pPr>
      <w:r w:rsidRPr="005519E2">
        <w:rPr>
          <w:rFonts w:asciiTheme="majorBidi" w:hAnsiTheme="majorBidi" w:cstheme="majorBidi"/>
          <w:sz w:val="28"/>
          <w:szCs w:val="28"/>
        </w:rPr>
        <w:t>      2. Les outils de l’accompagnement à l’élaboration de projet professionnel</w:t>
      </w:r>
    </w:p>
    <w:p w14:paraId="34433DE6" w14:textId="77777777" w:rsidR="005519E2" w:rsidRPr="005519E2" w:rsidRDefault="005519E2" w:rsidP="005519E2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5519E2">
        <w:rPr>
          <w:rFonts w:asciiTheme="majorBidi" w:hAnsiTheme="majorBidi" w:cstheme="majorBidi"/>
          <w:sz w:val="28"/>
          <w:szCs w:val="28"/>
        </w:rPr>
        <w:t>a. Entretien d’analyse de la demande </w:t>
      </w:r>
    </w:p>
    <w:p w14:paraId="12AA6AA9" w14:textId="77777777" w:rsidR="005519E2" w:rsidRPr="005519E2" w:rsidRDefault="005519E2" w:rsidP="005519E2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5519E2">
        <w:rPr>
          <w:rFonts w:asciiTheme="majorBidi" w:hAnsiTheme="majorBidi" w:cstheme="majorBidi"/>
          <w:sz w:val="28"/>
          <w:szCs w:val="28"/>
        </w:rPr>
        <w:t>b. Les techniques d’entretiens</w:t>
      </w:r>
    </w:p>
    <w:p w14:paraId="0BF4A6B6" w14:textId="77777777" w:rsidR="00581129" w:rsidRPr="00B649DF" w:rsidRDefault="005519E2" w:rsidP="00581129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5519E2">
        <w:rPr>
          <w:rFonts w:asciiTheme="majorBidi" w:hAnsiTheme="majorBidi" w:cstheme="majorBidi"/>
          <w:sz w:val="28"/>
          <w:szCs w:val="28"/>
        </w:rPr>
        <w:t>c. Les tests et questionnaires (usage, méthodologie, éthique &amp; exemples)</w:t>
      </w:r>
    </w:p>
    <w:p w14:paraId="4F602112" w14:textId="7B05A5FC" w:rsidR="00581129" w:rsidRPr="00B649DF" w:rsidRDefault="00853341" w:rsidP="00581129">
      <w:pPr>
        <w:ind w:left="360"/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>3.</w:t>
      </w:r>
      <w:r w:rsidR="00581129" w:rsidRPr="00B649DF">
        <w:rPr>
          <w:rFonts w:asciiTheme="majorBidi" w:hAnsiTheme="majorBidi" w:cstheme="majorBidi"/>
          <w:sz w:val="28"/>
          <w:szCs w:val="28"/>
        </w:rPr>
        <w:t xml:space="preserve"> </w:t>
      </w:r>
      <w:r w:rsidR="005519E2" w:rsidRPr="00B649DF">
        <w:rPr>
          <w:rFonts w:asciiTheme="majorBidi" w:hAnsiTheme="majorBidi" w:cstheme="majorBidi"/>
          <w:sz w:val="28"/>
          <w:szCs w:val="28"/>
        </w:rPr>
        <w:t>Méthodologie de l’accompagnement au projet</w:t>
      </w:r>
    </w:p>
    <w:p w14:paraId="7BF032AA" w14:textId="30F8AF0C" w:rsidR="005519E2" w:rsidRPr="00B649DF" w:rsidRDefault="005519E2" w:rsidP="00581129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>L’analyse de l’expérience et les compétences professionnelles.</w:t>
      </w:r>
    </w:p>
    <w:p w14:paraId="48D48E28" w14:textId="77777777" w:rsidR="005519E2" w:rsidRPr="00B649DF" w:rsidRDefault="005519E2" w:rsidP="00581129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>La confrontation au marché du travail par les enquêtes métiers (exemple d’outils).</w:t>
      </w:r>
    </w:p>
    <w:p w14:paraId="32F872FE" w14:textId="633B951B" w:rsidR="000A21A5" w:rsidRPr="00B649DF" w:rsidRDefault="005519E2" w:rsidP="00581129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>Choix et validation de projet.</w:t>
      </w:r>
    </w:p>
    <w:p w14:paraId="0FA54C42" w14:textId="543F1343" w:rsidR="00581129" w:rsidRPr="00B649DF" w:rsidRDefault="00853341" w:rsidP="00853341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B649DF">
        <w:rPr>
          <w:rFonts w:asciiTheme="majorBidi" w:hAnsiTheme="majorBidi" w:cstheme="majorBidi"/>
          <w:sz w:val="28"/>
          <w:szCs w:val="28"/>
        </w:rPr>
        <w:t xml:space="preserve">. Les principaux pratiques des psychologues du travail dans le champ du conseil en orientation professionnelle </w:t>
      </w:r>
    </w:p>
    <w:p w14:paraId="4E6F7466" w14:textId="77777777" w:rsidR="005519E2" w:rsidRPr="005519E2" w:rsidRDefault="005519E2" w:rsidP="005519E2">
      <w:pPr>
        <w:rPr>
          <w:rFonts w:asciiTheme="majorBidi" w:hAnsiTheme="majorBidi" w:cstheme="majorBidi"/>
          <w:sz w:val="28"/>
          <w:szCs w:val="28"/>
        </w:rPr>
      </w:pPr>
      <w:r w:rsidRPr="005519E2">
        <w:rPr>
          <w:rFonts w:asciiTheme="majorBidi" w:hAnsiTheme="majorBidi" w:cstheme="majorBidi"/>
          <w:sz w:val="28"/>
          <w:szCs w:val="28"/>
        </w:rPr>
        <w:t> </w:t>
      </w:r>
    </w:p>
    <w:p w14:paraId="06850574" w14:textId="77777777" w:rsidR="005519E2" w:rsidRPr="005519E2" w:rsidRDefault="005519E2" w:rsidP="005519E2">
      <w:pPr>
        <w:rPr>
          <w:rFonts w:asciiTheme="majorBidi" w:hAnsiTheme="majorBidi" w:cstheme="majorBidi"/>
          <w:sz w:val="28"/>
          <w:szCs w:val="28"/>
        </w:rPr>
      </w:pPr>
      <w:r w:rsidRPr="005519E2">
        <w:rPr>
          <w:rFonts w:asciiTheme="majorBidi" w:hAnsiTheme="majorBidi" w:cstheme="majorBidi"/>
          <w:sz w:val="28"/>
          <w:szCs w:val="28"/>
        </w:rPr>
        <w:t> </w:t>
      </w:r>
    </w:p>
    <w:p w14:paraId="778486B0" w14:textId="77777777" w:rsidR="005546A9" w:rsidRDefault="005546A9"/>
    <w:sectPr w:rsidR="0055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6A1"/>
    <w:multiLevelType w:val="hybridMultilevel"/>
    <w:tmpl w:val="38E05B50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5BB"/>
    <w:multiLevelType w:val="multilevel"/>
    <w:tmpl w:val="9C6C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14E9"/>
    <w:multiLevelType w:val="multilevel"/>
    <w:tmpl w:val="B032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6426B"/>
    <w:multiLevelType w:val="hybridMultilevel"/>
    <w:tmpl w:val="C5445410"/>
    <w:lvl w:ilvl="0" w:tplc="84E01A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D12D0"/>
    <w:multiLevelType w:val="hybridMultilevel"/>
    <w:tmpl w:val="2E3E6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73BD2"/>
    <w:multiLevelType w:val="multilevel"/>
    <w:tmpl w:val="2E80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11E48"/>
    <w:multiLevelType w:val="hybridMultilevel"/>
    <w:tmpl w:val="E844FB8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2C57F8"/>
    <w:multiLevelType w:val="multilevel"/>
    <w:tmpl w:val="3D72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E4FB3"/>
    <w:multiLevelType w:val="multilevel"/>
    <w:tmpl w:val="98A6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355DF"/>
    <w:multiLevelType w:val="multilevel"/>
    <w:tmpl w:val="1E22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A2F75"/>
    <w:multiLevelType w:val="hybridMultilevel"/>
    <w:tmpl w:val="99B05EA4"/>
    <w:lvl w:ilvl="0" w:tplc="040C000F">
      <w:start w:val="1"/>
      <w:numFmt w:val="decimal"/>
      <w:lvlText w:val="%1."/>
      <w:lvlJc w:val="left"/>
      <w:pPr>
        <w:ind w:left="1095" w:hanging="360"/>
      </w:p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65E4267C"/>
    <w:multiLevelType w:val="multilevel"/>
    <w:tmpl w:val="1A28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70D03"/>
    <w:multiLevelType w:val="hybridMultilevel"/>
    <w:tmpl w:val="AD5290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5556"/>
    <w:multiLevelType w:val="multilevel"/>
    <w:tmpl w:val="F266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48537">
    <w:abstractNumId w:val="7"/>
  </w:num>
  <w:num w:numId="2" w16cid:durableId="1082143533">
    <w:abstractNumId w:val="5"/>
  </w:num>
  <w:num w:numId="3" w16cid:durableId="1347908296">
    <w:abstractNumId w:val="13"/>
  </w:num>
  <w:num w:numId="4" w16cid:durableId="1148278332">
    <w:abstractNumId w:val="8"/>
  </w:num>
  <w:num w:numId="5" w16cid:durableId="968585512">
    <w:abstractNumId w:val="1"/>
  </w:num>
  <w:num w:numId="6" w16cid:durableId="915432971">
    <w:abstractNumId w:val="11"/>
  </w:num>
  <w:num w:numId="7" w16cid:durableId="873075144">
    <w:abstractNumId w:val="2"/>
  </w:num>
  <w:num w:numId="8" w16cid:durableId="1090656844">
    <w:abstractNumId w:val="9"/>
  </w:num>
  <w:num w:numId="9" w16cid:durableId="1393578551">
    <w:abstractNumId w:val="10"/>
  </w:num>
  <w:num w:numId="10" w16cid:durableId="1090660441">
    <w:abstractNumId w:val="4"/>
  </w:num>
  <w:num w:numId="11" w16cid:durableId="529730112">
    <w:abstractNumId w:val="12"/>
  </w:num>
  <w:num w:numId="12" w16cid:durableId="819467318">
    <w:abstractNumId w:val="0"/>
  </w:num>
  <w:num w:numId="13" w16cid:durableId="1030956235">
    <w:abstractNumId w:val="6"/>
  </w:num>
  <w:num w:numId="14" w16cid:durableId="1645428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E2"/>
    <w:rsid w:val="000A21A5"/>
    <w:rsid w:val="001C77E8"/>
    <w:rsid w:val="005519E2"/>
    <w:rsid w:val="005546A9"/>
    <w:rsid w:val="00581129"/>
    <w:rsid w:val="00853341"/>
    <w:rsid w:val="00B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52F0"/>
  <w15:chartTrackingRefBased/>
  <w15:docId w15:val="{47ED9F5E-9DA6-4EE3-ADF9-E7A2CC9F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2023-11-25T14:25:00Z</dcterms:created>
  <dcterms:modified xsi:type="dcterms:W3CDTF">2023-11-25T15:12:00Z</dcterms:modified>
</cp:coreProperties>
</file>