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2F7" w:rsidRPr="00EB4AF2" w:rsidRDefault="00E61FC1" w:rsidP="00E61FC1">
      <w:pPr>
        <w:jc w:val="both"/>
        <w:rPr>
          <w:rFonts w:ascii="Times New Roman" w:hAnsi="Times New Roman" w:cs="Times New Roman"/>
          <w:b/>
          <w:bCs/>
          <w:sz w:val="24"/>
          <w:szCs w:val="24"/>
        </w:rPr>
      </w:pPr>
      <w:r w:rsidRPr="00EB4AF2">
        <w:rPr>
          <w:rFonts w:ascii="Times New Roman" w:hAnsi="Times New Roman" w:cs="Times New Roman"/>
          <w:b/>
          <w:bCs/>
          <w:sz w:val="24"/>
          <w:szCs w:val="24"/>
        </w:rPr>
        <w:t xml:space="preserve">Cours 2 : </w:t>
      </w:r>
      <w:r w:rsidR="007B42F7" w:rsidRPr="00EB4AF2">
        <w:rPr>
          <w:rFonts w:ascii="Times New Roman" w:hAnsi="Times New Roman" w:cs="Times New Roman"/>
          <w:b/>
          <w:bCs/>
          <w:sz w:val="24"/>
          <w:szCs w:val="24"/>
        </w:rPr>
        <w:t>La Kabylie </w:t>
      </w:r>
      <w:r w:rsidR="007B2215">
        <w:rPr>
          <w:rFonts w:ascii="Times New Roman" w:hAnsi="Times New Roman" w:cs="Times New Roman"/>
          <w:b/>
          <w:bCs/>
          <w:sz w:val="24"/>
          <w:szCs w:val="24"/>
        </w:rPr>
        <w:t>et les Kabyles</w:t>
      </w:r>
    </w:p>
    <w:p w:rsidR="00E61FC1" w:rsidRPr="00EB4AF2" w:rsidRDefault="00E61FC1" w:rsidP="00E61FC1">
      <w:pPr>
        <w:jc w:val="both"/>
        <w:rPr>
          <w:rFonts w:ascii="Times New Roman" w:hAnsi="Times New Roman" w:cs="Times New Roman"/>
          <w:sz w:val="24"/>
          <w:szCs w:val="24"/>
          <w:lang w:bidi="ar-DZ"/>
        </w:rPr>
      </w:pPr>
      <w:r w:rsidRPr="00EB4AF2">
        <w:rPr>
          <w:rFonts w:ascii="Times New Roman" w:hAnsi="Times New Roman" w:cs="Times New Roman"/>
          <w:b/>
          <w:bCs/>
          <w:sz w:val="24"/>
          <w:szCs w:val="24"/>
          <w:lang w:bidi="ar-DZ"/>
        </w:rPr>
        <w:t>Kabylie (Définition) : (Tamurt n Leqbayel)</w:t>
      </w:r>
      <w:r w:rsidRPr="00EB4AF2">
        <w:rPr>
          <w:rFonts w:ascii="Times New Roman" w:hAnsi="Times New Roman" w:cs="Times New Roman"/>
          <w:sz w:val="24"/>
          <w:szCs w:val="24"/>
          <w:lang w:bidi="ar-DZ"/>
        </w:rPr>
        <w:t> : Située au Nord de l’Afrique, à l’Est d’Alger, la Kabylie ou les Kabylies forment un segment du système montagneux de l’Atlas Tellien du Nord-Est de l’Algérie. C’est un véritable isolat géographique et physique. Elle a été surnommée « La Suisse Africaine », « l’Auvergne Africaine »</w:t>
      </w:r>
    </w:p>
    <w:p w:rsidR="0009756D" w:rsidRPr="00EB4AF2" w:rsidRDefault="0009756D" w:rsidP="0009756D">
      <w:pPr>
        <w:ind w:firstLine="708"/>
        <w:jc w:val="both"/>
        <w:rPr>
          <w:rFonts w:ascii="Times New Roman" w:hAnsi="Times New Roman" w:cs="Times New Roman"/>
          <w:i/>
          <w:sz w:val="24"/>
          <w:szCs w:val="24"/>
          <w:lang w:bidi="ar-DZ"/>
        </w:rPr>
      </w:pPr>
      <w:r w:rsidRPr="00EB4AF2">
        <w:rPr>
          <w:rFonts w:ascii="Times New Roman" w:hAnsi="Times New Roman" w:cs="Times New Roman"/>
          <w:sz w:val="24"/>
          <w:szCs w:val="24"/>
          <w:lang w:bidi="ar-DZ"/>
        </w:rPr>
        <w:t xml:space="preserve">La Kabylie est une région berbérophone située au nord-est de l’Algérie. C’est une région montagneuse, mais aussi </w:t>
      </w:r>
      <w:r w:rsidR="00EC70F1" w:rsidRPr="00EB4AF2">
        <w:rPr>
          <w:rFonts w:ascii="Times New Roman" w:hAnsi="Times New Roman" w:cs="Times New Roman"/>
          <w:sz w:val="24"/>
          <w:szCs w:val="24"/>
          <w:lang w:bidi="ar-DZ"/>
        </w:rPr>
        <w:t>côtière</w:t>
      </w:r>
      <w:r w:rsidRPr="00EB4AF2">
        <w:rPr>
          <w:rFonts w:ascii="Times New Roman" w:hAnsi="Times New Roman" w:cs="Times New Roman"/>
          <w:sz w:val="24"/>
          <w:szCs w:val="24"/>
          <w:lang w:bidi="ar-DZ"/>
        </w:rPr>
        <w:t xml:space="preserve">. </w:t>
      </w:r>
      <w:r w:rsidR="00882B3C" w:rsidRPr="00EB4AF2">
        <w:rPr>
          <w:rFonts w:ascii="Times New Roman" w:hAnsi="Times New Roman" w:cs="Times New Roman"/>
          <w:sz w:val="24"/>
          <w:szCs w:val="24"/>
          <w:lang w:bidi="ar-DZ"/>
        </w:rPr>
        <w:t xml:space="preserve">Général Daumas l’a décrite comme étant </w:t>
      </w:r>
      <w:r w:rsidR="00882B3C" w:rsidRPr="00EB4AF2">
        <w:rPr>
          <w:rFonts w:ascii="Times New Roman" w:hAnsi="Times New Roman" w:cs="Times New Roman"/>
          <w:i/>
          <w:sz w:val="24"/>
          <w:szCs w:val="24"/>
          <w:lang w:bidi="ar-DZ"/>
        </w:rPr>
        <w:t xml:space="preserve">« ce vaste pâté de montagnes compris entre Dellys et Bougie » </w:t>
      </w:r>
      <w:r w:rsidR="00882B3C" w:rsidRPr="00EB4AF2">
        <w:rPr>
          <w:rFonts w:ascii="Times New Roman" w:hAnsi="Times New Roman" w:cs="Times New Roman"/>
          <w:sz w:val="24"/>
          <w:szCs w:val="24"/>
          <w:lang w:bidi="ar-DZ"/>
        </w:rPr>
        <w:t xml:space="preserve">Quant à J. Liorel, il a dit à propos de la Kabylie, que c’était un </w:t>
      </w:r>
      <w:r w:rsidR="00882B3C" w:rsidRPr="00EB4AF2">
        <w:rPr>
          <w:rFonts w:ascii="Times New Roman" w:hAnsi="Times New Roman" w:cs="Times New Roman"/>
          <w:i/>
          <w:sz w:val="24"/>
          <w:szCs w:val="24"/>
          <w:lang w:bidi="ar-DZ"/>
        </w:rPr>
        <w:t xml:space="preserve">« pays </w:t>
      </w:r>
      <w:r w:rsidR="00037725" w:rsidRPr="00EB4AF2">
        <w:rPr>
          <w:rFonts w:ascii="Times New Roman" w:hAnsi="Times New Roman" w:cs="Times New Roman"/>
          <w:i/>
          <w:sz w:val="24"/>
          <w:szCs w:val="24"/>
          <w:lang w:bidi="ar-DZ"/>
        </w:rPr>
        <w:t>extrêmement</w:t>
      </w:r>
      <w:r w:rsidR="00882B3C" w:rsidRPr="00EB4AF2">
        <w:rPr>
          <w:rFonts w:ascii="Times New Roman" w:hAnsi="Times New Roman" w:cs="Times New Roman"/>
          <w:i/>
          <w:sz w:val="24"/>
          <w:szCs w:val="24"/>
          <w:lang w:bidi="ar-DZ"/>
        </w:rPr>
        <w:t xml:space="preserve"> montagneux, sans plaines » </w:t>
      </w:r>
    </w:p>
    <w:p w:rsidR="0009756D" w:rsidRPr="00EB4AF2" w:rsidRDefault="0009756D" w:rsidP="0009756D">
      <w:pPr>
        <w:ind w:firstLine="708"/>
        <w:jc w:val="both"/>
        <w:rPr>
          <w:rFonts w:ascii="Times New Roman" w:hAnsi="Times New Roman" w:cs="Times New Roman"/>
          <w:sz w:val="24"/>
          <w:szCs w:val="24"/>
          <w:lang w:bidi="ar-DZ"/>
        </w:rPr>
      </w:pPr>
      <w:r w:rsidRPr="00EB4AF2">
        <w:rPr>
          <w:rFonts w:ascii="Times New Roman" w:hAnsi="Times New Roman" w:cs="Times New Roman"/>
          <w:sz w:val="24"/>
          <w:szCs w:val="24"/>
          <w:lang w:bidi="ar-DZ"/>
        </w:rPr>
        <w:t>Les Kabyles constituent une partie des peu</w:t>
      </w:r>
      <w:r w:rsidR="00890F2A">
        <w:rPr>
          <w:rFonts w:ascii="Times New Roman" w:hAnsi="Times New Roman" w:cs="Times New Roman"/>
          <w:sz w:val="24"/>
          <w:szCs w:val="24"/>
          <w:lang w:bidi="ar-DZ"/>
        </w:rPr>
        <w:t>p</w:t>
      </w:r>
      <w:bookmarkStart w:id="0" w:name="_GoBack"/>
      <w:bookmarkEnd w:id="0"/>
      <w:r w:rsidRPr="00EB4AF2">
        <w:rPr>
          <w:rFonts w:ascii="Times New Roman" w:hAnsi="Times New Roman" w:cs="Times New Roman"/>
          <w:sz w:val="24"/>
          <w:szCs w:val="24"/>
          <w:lang w:bidi="ar-DZ"/>
        </w:rPr>
        <w:t xml:space="preserve">les berbères d’Afrique du Nord et sont présents en Algérie depuis toujours. </w:t>
      </w:r>
    </w:p>
    <w:p w:rsidR="00E61FC1" w:rsidRPr="00EB4AF2" w:rsidRDefault="00E61FC1" w:rsidP="00E61FC1">
      <w:pPr>
        <w:jc w:val="both"/>
        <w:rPr>
          <w:rFonts w:ascii="Times New Roman" w:hAnsi="Times New Roman" w:cs="Times New Roman"/>
          <w:b/>
          <w:bCs/>
          <w:sz w:val="24"/>
          <w:szCs w:val="24"/>
        </w:rPr>
      </w:pPr>
      <w:r w:rsidRPr="00EB4AF2">
        <w:rPr>
          <w:rFonts w:ascii="Times New Roman" w:hAnsi="Times New Roman" w:cs="Times New Roman"/>
          <w:b/>
          <w:bCs/>
          <w:sz w:val="24"/>
          <w:szCs w:val="24"/>
        </w:rPr>
        <w:t xml:space="preserve">Etymologie du mot « Kabyle » </w:t>
      </w:r>
    </w:p>
    <w:p w:rsidR="00E61FC1" w:rsidRPr="00EB4AF2" w:rsidRDefault="00E61FC1" w:rsidP="00E61FC1">
      <w:pPr>
        <w:pStyle w:val="Paragraphedeliste"/>
        <w:jc w:val="both"/>
        <w:rPr>
          <w:rFonts w:ascii="Times New Roman" w:hAnsi="Times New Roman" w:cs="Times New Roman"/>
          <w:sz w:val="24"/>
          <w:szCs w:val="24"/>
        </w:rPr>
      </w:pPr>
      <w:r w:rsidRPr="00EB4AF2">
        <w:rPr>
          <w:rFonts w:ascii="Times New Roman" w:hAnsi="Times New Roman" w:cs="Times New Roman"/>
          <w:sz w:val="24"/>
          <w:szCs w:val="24"/>
        </w:rPr>
        <w:tab/>
        <w:t xml:space="preserve">Plusieurs hypothèses ont été proposées concernant ce nom : </w:t>
      </w:r>
    </w:p>
    <w:p w:rsidR="00E61FC1" w:rsidRPr="00EB4AF2"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Ce nom viendrait du mot arabe ‘Qabila’ qui signifie tribu</w:t>
      </w:r>
    </w:p>
    <w:p w:rsidR="00E61FC1" w:rsidRPr="00EB4AF2"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 xml:space="preserve">Appellation donnée par les arabes aux autochtones de l’Afrique du Nord lors de leur acceptation de l’Islam. </w:t>
      </w:r>
    </w:p>
    <w:p w:rsidR="00E61FC1" w:rsidRPr="00EB4AF2"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 xml:space="preserve">Acceptation des autochtones d’une nouvelle culture et d’une autre langue étrangère lors de l’incursion arabe. </w:t>
      </w:r>
    </w:p>
    <w:p w:rsidR="00882B3C" w:rsidRDefault="00E61FC1" w:rsidP="00E61FC1">
      <w:pPr>
        <w:pStyle w:val="Paragraphedeliste"/>
        <w:numPr>
          <w:ilvl w:val="0"/>
          <w:numId w:val="1"/>
        </w:numPr>
        <w:jc w:val="both"/>
        <w:rPr>
          <w:rFonts w:ascii="Times New Roman" w:hAnsi="Times New Roman" w:cs="Times New Roman"/>
          <w:sz w:val="24"/>
          <w:szCs w:val="24"/>
        </w:rPr>
      </w:pPr>
      <w:r w:rsidRPr="00EB4AF2">
        <w:rPr>
          <w:rFonts w:ascii="Times New Roman" w:hAnsi="Times New Roman" w:cs="Times New Roman"/>
          <w:sz w:val="24"/>
          <w:szCs w:val="24"/>
        </w:rPr>
        <w:t>Le vocable ‘Kabyle’ viendrait de la racine arabe (Kobol) qui signifie les devanciers.</w:t>
      </w:r>
    </w:p>
    <w:p w:rsidR="00890F2A" w:rsidRPr="00EB4AF2" w:rsidRDefault="00890F2A" w:rsidP="00890F2A">
      <w:pPr>
        <w:pStyle w:val="Paragraphedeliste"/>
        <w:ind w:left="1080"/>
        <w:jc w:val="both"/>
        <w:rPr>
          <w:rFonts w:ascii="Times New Roman" w:hAnsi="Times New Roman" w:cs="Times New Roman"/>
          <w:sz w:val="24"/>
          <w:szCs w:val="24"/>
        </w:rPr>
      </w:pPr>
    </w:p>
    <w:p w:rsidR="0002737E" w:rsidRPr="00EB4AF2" w:rsidRDefault="00882B3C" w:rsidP="00EB4AF2">
      <w:pPr>
        <w:pStyle w:val="Paragraphedeliste"/>
        <w:numPr>
          <w:ilvl w:val="0"/>
          <w:numId w:val="5"/>
        </w:numPr>
        <w:jc w:val="both"/>
        <w:rPr>
          <w:rFonts w:ascii="Times New Roman" w:hAnsi="Times New Roman" w:cs="Times New Roman"/>
          <w:b/>
          <w:sz w:val="24"/>
          <w:szCs w:val="24"/>
        </w:rPr>
      </w:pPr>
      <w:r w:rsidRPr="00EB4AF2">
        <w:rPr>
          <w:rFonts w:ascii="Times New Roman" w:hAnsi="Times New Roman" w:cs="Times New Roman"/>
          <w:b/>
          <w:sz w:val="24"/>
          <w:szCs w:val="24"/>
        </w:rPr>
        <w:t>Aperçu historique</w:t>
      </w:r>
    </w:p>
    <w:p w:rsidR="0002737E" w:rsidRPr="00EB4AF2" w:rsidRDefault="00882B3C" w:rsidP="00EB4AF2">
      <w:pPr>
        <w:ind w:firstLine="360"/>
        <w:jc w:val="both"/>
        <w:rPr>
          <w:rFonts w:ascii="Times New Roman" w:hAnsi="Times New Roman" w:cs="Times New Roman"/>
          <w:sz w:val="24"/>
          <w:szCs w:val="24"/>
        </w:rPr>
      </w:pPr>
      <w:r w:rsidRPr="00EB4AF2">
        <w:rPr>
          <w:rFonts w:ascii="Times New Roman" w:hAnsi="Times New Roman" w:cs="Times New Roman"/>
          <w:sz w:val="24"/>
          <w:szCs w:val="24"/>
        </w:rPr>
        <w:t xml:space="preserve">La Kabylie a été habitée dès la préhistoire. Il existe </w:t>
      </w:r>
      <w:r w:rsidR="0002737E" w:rsidRPr="00EB4AF2">
        <w:rPr>
          <w:rFonts w:ascii="Times New Roman" w:hAnsi="Times New Roman" w:cs="Times New Roman"/>
          <w:sz w:val="24"/>
          <w:szCs w:val="24"/>
        </w:rPr>
        <w:t>environ</w:t>
      </w:r>
      <w:r w:rsidRPr="00EB4AF2">
        <w:rPr>
          <w:rFonts w:ascii="Times New Roman" w:hAnsi="Times New Roman" w:cs="Times New Roman"/>
          <w:sz w:val="24"/>
          <w:szCs w:val="24"/>
        </w:rPr>
        <w:t>130 sites encore visibles en Kabylie.</w:t>
      </w:r>
      <w:r w:rsidR="0002737E" w:rsidRPr="00EB4AF2">
        <w:rPr>
          <w:rFonts w:ascii="Times New Roman" w:hAnsi="Times New Roman" w:cs="Times New Roman"/>
          <w:sz w:val="24"/>
          <w:szCs w:val="24"/>
        </w:rPr>
        <w:t xml:space="preserve"> On y a trouvé des outils de pierre, mais aussi de quartz, grès ou silex en forme de bifaces, pointes de flèches, lames, grattoirs ou disques ainsi que des dessins. </w:t>
      </w:r>
    </w:p>
    <w:p w:rsidR="0002737E" w:rsidRPr="00EB4AF2" w:rsidRDefault="0002737E" w:rsidP="0002737E">
      <w:pPr>
        <w:ind w:firstLine="360"/>
        <w:jc w:val="both"/>
        <w:rPr>
          <w:rFonts w:ascii="Times New Roman" w:hAnsi="Times New Roman" w:cs="Times New Roman"/>
          <w:sz w:val="24"/>
          <w:szCs w:val="24"/>
        </w:rPr>
      </w:pPr>
      <w:r w:rsidRPr="00EB4AF2">
        <w:rPr>
          <w:rFonts w:ascii="Times New Roman" w:hAnsi="Times New Roman" w:cs="Times New Roman"/>
          <w:sz w:val="24"/>
          <w:szCs w:val="24"/>
        </w:rPr>
        <w:t>Des sites plus récents, près des Issers, près de la cote de Mizrana, au Cap Djinet-Tedles et Sigli et près d’Azeffoune et de Bougie. Ces lieux témoignent d’une vie locale de groupes humains considérés comme des néandertaliens ou Ibéromaurusiens.</w:t>
      </w:r>
    </w:p>
    <w:p w:rsidR="0002737E" w:rsidRPr="00EB4AF2" w:rsidRDefault="0002737E" w:rsidP="0002737E">
      <w:pPr>
        <w:ind w:firstLine="360"/>
        <w:jc w:val="both"/>
        <w:rPr>
          <w:rFonts w:ascii="Times New Roman" w:hAnsi="Times New Roman" w:cs="Times New Roman"/>
          <w:sz w:val="24"/>
          <w:szCs w:val="24"/>
        </w:rPr>
      </w:pPr>
      <w:r w:rsidRPr="00EB4AF2">
        <w:rPr>
          <w:rFonts w:ascii="Times New Roman" w:hAnsi="Times New Roman" w:cs="Times New Roman"/>
          <w:sz w:val="24"/>
          <w:szCs w:val="24"/>
        </w:rPr>
        <w:t xml:space="preserve">Au Néolithique, d’autres emplacements ont été habités, des pointes de flèche finement travaillées. </w:t>
      </w:r>
    </w:p>
    <w:p w:rsidR="00DF7387" w:rsidRPr="00EB4AF2" w:rsidRDefault="00DF7387" w:rsidP="00DF7387">
      <w:pPr>
        <w:ind w:firstLine="360"/>
        <w:jc w:val="both"/>
        <w:rPr>
          <w:rFonts w:ascii="Times New Roman" w:hAnsi="Times New Roman" w:cs="Times New Roman"/>
          <w:sz w:val="24"/>
          <w:szCs w:val="24"/>
        </w:rPr>
      </w:pPr>
      <w:r w:rsidRPr="00EB4AF2">
        <w:rPr>
          <w:rFonts w:ascii="Times New Roman" w:hAnsi="Times New Roman" w:cs="Times New Roman"/>
          <w:sz w:val="24"/>
          <w:szCs w:val="24"/>
        </w:rPr>
        <w:t>Les textes les plus anciens qui signalaient des agriculteurs dans le nord de l’Afrique, sont ceux d’Hécatée (Le géographe d’Ionie) et de l’historien grec Hérodote. Ce sont les Grecs qui donnèrent le nom de Libyens aux habitants de l’Afrique du Nord, c’est-</w:t>
      </w:r>
      <w:r w:rsidR="00414766" w:rsidRPr="00EB4AF2">
        <w:rPr>
          <w:rFonts w:ascii="Times New Roman" w:hAnsi="Times New Roman" w:cs="Times New Roman"/>
          <w:sz w:val="24"/>
          <w:szCs w:val="24"/>
        </w:rPr>
        <w:t>à-dire les Berbères.</w:t>
      </w:r>
    </w:p>
    <w:p w:rsidR="00DF7387" w:rsidRPr="00EB4AF2" w:rsidRDefault="00DF7387" w:rsidP="00EB4AF2">
      <w:pPr>
        <w:ind w:firstLine="360"/>
        <w:jc w:val="both"/>
        <w:rPr>
          <w:rFonts w:ascii="Times New Roman" w:hAnsi="Times New Roman" w:cs="Times New Roman"/>
          <w:sz w:val="24"/>
          <w:szCs w:val="24"/>
        </w:rPr>
      </w:pPr>
      <w:r w:rsidRPr="00EB4AF2">
        <w:rPr>
          <w:rFonts w:ascii="Times New Roman" w:hAnsi="Times New Roman" w:cs="Times New Roman"/>
          <w:sz w:val="24"/>
          <w:szCs w:val="24"/>
        </w:rPr>
        <w:t xml:space="preserve">La résistance a toujours été et est toujours une des caractéristiques des Kabyles. En effet, nous avons des exemples </w:t>
      </w:r>
      <w:r w:rsidR="00EB4AF2" w:rsidRPr="00EB4AF2">
        <w:rPr>
          <w:rFonts w:ascii="Times New Roman" w:hAnsi="Times New Roman" w:cs="Times New Roman"/>
          <w:sz w:val="24"/>
          <w:szCs w:val="24"/>
        </w:rPr>
        <w:t>concrets</w:t>
      </w:r>
      <w:r w:rsidRPr="00EB4AF2">
        <w:rPr>
          <w:rFonts w:ascii="Times New Roman" w:hAnsi="Times New Roman" w:cs="Times New Roman"/>
          <w:sz w:val="24"/>
          <w:szCs w:val="24"/>
        </w:rPr>
        <w:t xml:space="preserve"> depuis l’antiquité, car comme le disait D. Kaltbrunner</w:t>
      </w:r>
      <w:r w:rsidRPr="00EB4AF2">
        <w:rPr>
          <w:rStyle w:val="Appelnotedebasdep"/>
          <w:rFonts w:ascii="Times New Roman" w:hAnsi="Times New Roman" w:cs="Times New Roman"/>
          <w:sz w:val="24"/>
          <w:szCs w:val="24"/>
        </w:rPr>
        <w:footnoteReference w:id="2"/>
      </w:r>
    </w:p>
    <w:p w:rsidR="00863C6D" w:rsidRPr="007B2215" w:rsidRDefault="00DF7387" w:rsidP="00DF7387">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lastRenderedPageBreak/>
        <w:t>L</w:t>
      </w:r>
      <w:r w:rsidR="00863C6D" w:rsidRPr="007B2215">
        <w:rPr>
          <w:rFonts w:ascii="Times New Roman" w:hAnsi="Times New Roman" w:cs="Times New Roman"/>
          <w:iCs/>
          <w:sz w:val="24"/>
          <w:szCs w:val="24"/>
        </w:rPr>
        <w:t xml:space="preserve">es romains une fois établis dans le pays, se trouvèrent aux prises avec des Quinquegentiani ou confédérations de cinq tribus, qui occupaient le massif montagneux compris entre Saldae (Bougie) et Resuccurum (Dellys) ou, en d’autres termes, le Mons Ferratus, (Djudjura), c’est-à-dire, ce que nous appelons aujourd’hui, la Grande Kabylie. </w:t>
      </w:r>
    </w:p>
    <w:p w:rsidR="006A5791" w:rsidRPr="007B2215" w:rsidRDefault="00863C6D"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 xml:space="preserve">La domination romaine dans les montagnes ne fut jamais très complète ; on doit </w:t>
      </w:r>
      <w:r w:rsidR="00DF7387" w:rsidRPr="007B2215">
        <w:rPr>
          <w:rFonts w:ascii="Times New Roman" w:hAnsi="Times New Roman" w:cs="Times New Roman"/>
          <w:iCs/>
          <w:sz w:val="24"/>
          <w:szCs w:val="24"/>
        </w:rPr>
        <w:t>même</w:t>
      </w:r>
      <w:r w:rsidRPr="007B2215">
        <w:rPr>
          <w:rFonts w:ascii="Times New Roman" w:hAnsi="Times New Roman" w:cs="Times New Roman"/>
          <w:iCs/>
          <w:sz w:val="24"/>
          <w:szCs w:val="24"/>
        </w:rPr>
        <w:t xml:space="preserve"> la considérer plutôt comme n’y ayant guère eu qu’un caractère passager et purement nominal. Outre que les troupes romaines y pénétrèrent rarement, le Djurdjura fut toujours </w:t>
      </w:r>
      <w:r w:rsidR="006A5791" w:rsidRPr="007B2215">
        <w:rPr>
          <w:rFonts w:ascii="Times New Roman" w:hAnsi="Times New Roman" w:cs="Times New Roman"/>
          <w:iCs/>
          <w:sz w:val="24"/>
          <w:szCs w:val="24"/>
        </w:rPr>
        <w:t xml:space="preserve">un foyer d’où partirent des insurrections continuelles, dont les noms de Tacfarinas, de Firmus et de Gildon, personnifient les principales. </w:t>
      </w:r>
    </w:p>
    <w:p w:rsidR="00414766" w:rsidRPr="007B2215" w:rsidRDefault="006A5791"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Antérieurement aux romains, de nombreuses colonies, dont les plus importantes furent Utique, Cyrène et Carthage, avaient été fondées sur la cote septentrionale de l’Afrique. Toutes, sans exception, trouvèrent le pays déjà occupé, et les indigènes d’alors, tel que leur nom nous a été transmis, étaient les libyens.</w:t>
      </w:r>
    </w:p>
    <w:p w:rsidR="00B73B08" w:rsidRPr="007B2215" w:rsidRDefault="00414766"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Au XIème siècle, nous apprend Ibn-Khaldoun, le domaine Kabyle s’étendait sur un territoire compris entre l’actuelle Annaba à l’Est, Cherchell au Nord et les moins sahariens au sud. Trois groupements importants de populations y évoluèrent : les Sanhadja</w:t>
      </w:r>
      <w:r w:rsidR="001011CD" w:rsidRPr="007B2215">
        <w:rPr>
          <w:rFonts w:ascii="Times New Roman" w:hAnsi="Times New Roman" w:cs="Times New Roman"/>
          <w:iCs/>
          <w:sz w:val="24"/>
          <w:szCs w:val="24"/>
        </w:rPr>
        <w:t xml:space="preserve"> à l’ouest de Dellys, les Igawawen, qu’il appelle Zouaoua, entre Dellys et Bougie et les Kotama entre Bougie et Annaba.</w:t>
      </w:r>
    </w:p>
    <w:p w:rsidR="00AB5EB7" w:rsidRPr="007B2215" w:rsidRDefault="00AB5EB7"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Le peuple Kabyle toujours résistant, a tenu t</w:t>
      </w:r>
      <w:r w:rsidR="007B2215" w:rsidRPr="007B2215">
        <w:rPr>
          <w:rFonts w:ascii="Times New Roman" w:hAnsi="Times New Roman" w:cs="Times New Roman"/>
          <w:iCs/>
          <w:sz w:val="24"/>
          <w:szCs w:val="24"/>
        </w:rPr>
        <w:t>ê</w:t>
      </w:r>
      <w:r w:rsidRPr="007B2215">
        <w:rPr>
          <w:rFonts w:ascii="Times New Roman" w:hAnsi="Times New Roman" w:cs="Times New Roman"/>
          <w:iCs/>
          <w:sz w:val="24"/>
          <w:szCs w:val="24"/>
        </w:rPr>
        <w:t>te à la colonisation française et a lutté pour ses droits depuis 1830 à 1962. Nous avons dans ce contexte de nombreux exemples de martyrs en général. Lalla Fadma n Soumer, Cheikh Bou Baghla, AbaneRamdane, Krim Belkacem, Amirouche Ait Hamouda, … etc</w:t>
      </w:r>
    </w:p>
    <w:p w:rsidR="000B7491" w:rsidRPr="007B2215" w:rsidRDefault="00AB5EB7" w:rsidP="0002737E">
      <w:pPr>
        <w:ind w:firstLine="360"/>
        <w:jc w:val="both"/>
        <w:rPr>
          <w:rFonts w:ascii="Times New Roman" w:hAnsi="Times New Roman" w:cs="Times New Roman"/>
          <w:iCs/>
          <w:sz w:val="24"/>
          <w:szCs w:val="24"/>
        </w:rPr>
      </w:pPr>
      <w:r w:rsidRPr="007B2215">
        <w:rPr>
          <w:rFonts w:ascii="Times New Roman" w:hAnsi="Times New Roman" w:cs="Times New Roman"/>
          <w:iCs/>
          <w:sz w:val="24"/>
          <w:szCs w:val="24"/>
        </w:rPr>
        <w:t xml:space="preserve">Aujourd’hui encore, la Kabylie est toujours rebelle et </w:t>
      </w:r>
      <w:r w:rsidR="000B7491" w:rsidRPr="007B2215">
        <w:rPr>
          <w:rFonts w:ascii="Times New Roman" w:hAnsi="Times New Roman" w:cs="Times New Roman"/>
          <w:iCs/>
          <w:sz w:val="24"/>
          <w:szCs w:val="24"/>
        </w:rPr>
        <w:t>préservatrice de ses mœurs et identité millénaires.</w:t>
      </w:r>
    </w:p>
    <w:p w:rsidR="000B7491" w:rsidRPr="007B2215" w:rsidRDefault="000B7491" w:rsidP="0002737E">
      <w:pPr>
        <w:ind w:firstLine="360"/>
        <w:jc w:val="both"/>
        <w:rPr>
          <w:rFonts w:ascii="Times New Roman" w:hAnsi="Times New Roman" w:cs="Times New Roman"/>
          <w:iCs/>
          <w:sz w:val="24"/>
          <w:szCs w:val="24"/>
        </w:rPr>
      </w:pPr>
    </w:p>
    <w:p w:rsidR="000B7491" w:rsidRPr="007B2215" w:rsidRDefault="000B7491" w:rsidP="0002737E">
      <w:pPr>
        <w:ind w:firstLine="360"/>
        <w:jc w:val="both"/>
        <w:rPr>
          <w:rFonts w:ascii="Times New Roman" w:hAnsi="Times New Roman" w:cs="Times New Roman"/>
          <w:b/>
          <w:iCs/>
          <w:sz w:val="24"/>
          <w:szCs w:val="24"/>
        </w:rPr>
      </w:pPr>
      <w:r w:rsidRPr="007B2215">
        <w:rPr>
          <w:rFonts w:ascii="Times New Roman" w:hAnsi="Times New Roman" w:cs="Times New Roman"/>
          <w:b/>
          <w:iCs/>
          <w:sz w:val="24"/>
          <w:szCs w:val="24"/>
        </w:rPr>
        <w:t>Bibliographie </w:t>
      </w:r>
    </w:p>
    <w:p w:rsidR="000B7491" w:rsidRPr="007B2215" w:rsidRDefault="000B7491" w:rsidP="000B7491">
      <w:pPr>
        <w:pStyle w:val="Paragraphedeliste"/>
        <w:numPr>
          <w:ilvl w:val="0"/>
          <w:numId w:val="2"/>
        </w:numPr>
        <w:jc w:val="both"/>
        <w:rPr>
          <w:rFonts w:ascii="Times New Roman" w:hAnsi="Times New Roman" w:cs="Times New Roman"/>
          <w:iCs/>
          <w:sz w:val="24"/>
          <w:szCs w:val="24"/>
        </w:rPr>
      </w:pPr>
      <w:r w:rsidRPr="007B2215">
        <w:rPr>
          <w:rFonts w:ascii="Times New Roman" w:hAnsi="Times New Roman" w:cs="Times New Roman"/>
          <w:iCs/>
          <w:sz w:val="24"/>
          <w:szCs w:val="24"/>
        </w:rPr>
        <w:t>Younes Adli, la Kabylie à l’épreuve des invasions, des Phéniciens à 1900, Zyriab éditions</w:t>
      </w:r>
    </w:p>
    <w:p w:rsidR="000B7491" w:rsidRPr="007B2215" w:rsidRDefault="000B7491" w:rsidP="000B7491">
      <w:pPr>
        <w:pStyle w:val="Paragraphedeliste"/>
        <w:numPr>
          <w:ilvl w:val="0"/>
          <w:numId w:val="2"/>
        </w:numPr>
        <w:jc w:val="both"/>
        <w:rPr>
          <w:rFonts w:ascii="Times New Roman" w:hAnsi="Times New Roman" w:cs="Times New Roman"/>
          <w:iCs/>
          <w:sz w:val="24"/>
          <w:szCs w:val="24"/>
        </w:rPr>
      </w:pPr>
      <w:r w:rsidRPr="007B2215">
        <w:rPr>
          <w:rFonts w:ascii="Times New Roman" w:hAnsi="Times New Roman" w:cs="Times New Roman"/>
          <w:iCs/>
          <w:sz w:val="24"/>
          <w:szCs w:val="24"/>
        </w:rPr>
        <w:t>La Kabylie présentée par des auteurs français du 19 ème siècle, étude analytique (Ouvrage coordonné par Ouatmani</w:t>
      </w:r>
      <w:r w:rsidR="00292C39">
        <w:rPr>
          <w:rFonts w:ascii="Times New Roman" w:hAnsi="Times New Roman" w:cs="Times New Roman"/>
          <w:iCs/>
          <w:sz w:val="24"/>
          <w:szCs w:val="24"/>
        </w:rPr>
        <w:t xml:space="preserve"> </w:t>
      </w:r>
      <w:r w:rsidRPr="007B2215">
        <w:rPr>
          <w:rFonts w:ascii="Times New Roman" w:hAnsi="Times New Roman" w:cs="Times New Roman"/>
          <w:iCs/>
          <w:sz w:val="24"/>
          <w:szCs w:val="24"/>
        </w:rPr>
        <w:t>Settar), OPU</w:t>
      </w:r>
    </w:p>
    <w:p w:rsidR="00AB5EB7" w:rsidRPr="007B2215" w:rsidRDefault="00AB5EB7" w:rsidP="000B7491">
      <w:pPr>
        <w:pStyle w:val="Paragraphedeliste"/>
        <w:jc w:val="both"/>
        <w:rPr>
          <w:rFonts w:ascii="Times New Roman" w:hAnsi="Times New Roman" w:cs="Times New Roman"/>
          <w:iCs/>
          <w:sz w:val="24"/>
          <w:szCs w:val="24"/>
        </w:rPr>
      </w:pPr>
    </w:p>
    <w:p w:rsidR="00E61FC1" w:rsidRPr="007B2215" w:rsidRDefault="00E61FC1" w:rsidP="0002737E">
      <w:pPr>
        <w:ind w:firstLine="360"/>
        <w:jc w:val="both"/>
        <w:rPr>
          <w:rFonts w:ascii="Times New Roman" w:hAnsi="Times New Roman" w:cs="Times New Roman"/>
          <w:iCs/>
          <w:sz w:val="24"/>
          <w:szCs w:val="24"/>
        </w:rPr>
      </w:pPr>
    </w:p>
    <w:p w:rsidR="00BB4F9D" w:rsidRDefault="007B2215" w:rsidP="007B2215">
      <w:pPr>
        <w:pStyle w:val="Paragraphedeliste"/>
        <w:numPr>
          <w:ilvl w:val="0"/>
          <w:numId w:val="2"/>
        </w:numPr>
        <w:jc w:val="both"/>
        <w:rPr>
          <w:rFonts w:ascii="Times New Roman" w:hAnsi="Times New Roman" w:cs="Times New Roman"/>
          <w:b/>
          <w:bCs/>
          <w:iCs/>
          <w:sz w:val="24"/>
          <w:szCs w:val="24"/>
        </w:rPr>
      </w:pPr>
      <w:r w:rsidRPr="007B2215">
        <w:rPr>
          <w:rFonts w:ascii="Times New Roman" w:hAnsi="Times New Roman" w:cs="Times New Roman"/>
          <w:b/>
          <w:bCs/>
          <w:iCs/>
          <w:sz w:val="24"/>
          <w:szCs w:val="24"/>
        </w:rPr>
        <w:t>O</w:t>
      </w:r>
      <w:r w:rsidR="00023FE4" w:rsidRPr="007B2215">
        <w:rPr>
          <w:rFonts w:ascii="Times New Roman" w:hAnsi="Times New Roman" w:cs="Times New Roman"/>
          <w:b/>
          <w:bCs/>
          <w:iCs/>
          <w:sz w:val="24"/>
          <w:szCs w:val="24"/>
        </w:rPr>
        <w:t>rganisation soci</w:t>
      </w:r>
      <w:r w:rsidR="001929A5" w:rsidRPr="007B2215">
        <w:rPr>
          <w:rFonts w:ascii="Times New Roman" w:hAnsi="Times New Roman" w:cs="Times New Roman"/>
          <w:b/>
          <w:bCs/>
          <w:iCs/>
          <w:sz w:val="24"/>
          <w:szCs w:val="24"/>
        </w:rPr>
        <w:t>o-</w:t>
      </w:r>
      <w:r w:rsidR="00023FE4" w:rsidRPr="007B2215">
        <w:rPr>
          <w:rFonts w:ascii="Times New Roman" w:hAnsi="Times New Roman" w:cs="Times New Roman"/>
          <w:b/>
          <w:bCs/>
          <w:iCs/>
          <w:sz w:val="24"/>
          <w:szCs w:val="24"/>
        </w:rPr>
        <w:t>politique</w:t>
      </w:r>
    </w:p>
    <w:p w:rsidR="007B2215" w:rsidRPr="007B2215" w:rsidRDefault="007B2215" w:rsidP="007B2215">
      <w:pPr>
        <w:pStyle w:val="Paragraphedeliste"/>
        <w:jc w:val="both"/>
        <w:rPr>
          <w:rFonts w:ascii="Times New Roman" w:hAnsi="Times New Roman" w:cs="Times New Roman"/>
          <w:b/>
          <w:bCs/>
          <w:iCs/>
          <w:sz w:val="24"/>
          <w:szCs w:val="24"/>
        </w:rPr>
      </w:pPr>
    </w:p>
    <w:p w:rsidR="00023FE4" w:rsidRPr="00EB4AF2" w:rsidRDefault="000069C8" w:rsidP="00EB4AF2">
      <w:pPr>
        <w:pStyle w:val="Paragraphedeliste"/>
        <w:numPr>
          <w:ilvl w:val="0"/>
          <w:numId w:val="3"/>
        </w:numPr>
        <w:jc w:val="both"/>
        <w:rPr>
          <w:rFonts w:ascii="Times New Roman" w:hAnsi="Times New Roman" w:cs="Times New Roman"/>
          <w:b/>
          <w:sz w:val="24"/>
          <w:szCs w:val="24"/>
        </w:rPr>
      </w:pPr>
      <w:r w:rsidRPr="00EB4AF2">
        <w:rPr>
          <w:rFonts w:ascii="Times New Roman" w:hAnsi="Times New Roman" w:cs="Times New Roman"/>
          <w:b/>
          <w:sz w:val="24"/>
          <w:szCs w:val="24"/>
        </w:rPr>
        <w:t>S</w:t>
      </w:r>
      <w:r w:rsidR="00023FE4" w:rsidRPr="00EB4AF2">
        <w:rPr>
          <w:rFonts w:ascii="Times New Roman" w:hAnsi="Times New Roman" w:cs="Times New Roman"/>
          <w:b/>
          <w:sz w:val="24"/>
          <w:szCs w:val="24"/>
        </w:rPr>
        <w:t xml:space="preserve">tructures </w:t>
      </w:r>
      <w:r w:rsidRPr="00EB4AF2">
        <w:rPr>
          <w:rFonts w:ascii="Times New Roman" w:hAnsi="Times New Roman" w:cs="Times New Roman"/>
          <w:b/>
          <w:sz w:val="24"/>
          <w:szCs w:val="24"/>
        </w:rPr>
        <w:t>et fonctionnement</w:t>
      </w:r>
      <w:r w:rsidR="00023FE4" w:rsidRPr="00EB4AF2">
        <w:rPr>
          <w:rFonts w:ascii="Times New Roman" w:hAnsi="Times New Roman" w:cs="Times New Roman"/>
          <w:b/>
          <w:sz w:val="24"/>
          <w:szCs w:val="24"/>
        </w:rPr>
        <w:t> </w:t>
      </w:r>
    </w:p>
    <w:p w:rsidR="00E61FC1" w:rsidRPr="00EB4AF2" w:rsidRDefault="00E61FC1"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Tous les villages se ressemblent dans leurs structures et dans leur situation géographique et l’étude d’un seul sufft pour comprendre toute l’organisation sociale et </w:t>
      </w:r>
      <w:r w:rsidRPr="00EB4AF2">
        <w:rPr>
          <w:rFonts w:ascii="Times New Roman" w:hAnsi="Times New Roman" w:cs="Times New Roman"/>
          <w:sz w:val="24"/>
          <w:szCs w:val="24"/>
        </w:rPr>
        <w:lastRenderedPageBreak/>
        <w:t xml:space="preserve">politique des communautés villageoises. L’unité sociopolitique et économique de base de la société Kabyle est la famille élargie : </w:t>
      </w:r>
      <w:r w:rsidRPr="00EB4AF2">
        <w:rPr>
          <w:rFonts w:ascii="Times New Roman" w:hAnsi="Times New Roman" w:cs="Times New Roman"/>
          <w:b/>
          <w:sz w:val="24"/>
          <w:szCs w:val="24"/>
        </w:rPr>
        <w:t>Axxam.</w:t>
      </w:r>
    </w:p>
    <w:p w:rsidR="00E61FC1" w:rsidRPr="00EB4AF2" w:rsidRDefault="00E61FC1" w:rsidP="00EB4AF2">
      <w:pPr>
        <w:pStyle w:val="Paragraphedeliste"/>
        <w:numPr>
          <w:ilvl w:val="0"/>
          <w:numId w:val="4"/>
        </w:numPr>
        <w:jc w:val="both"/>
        <w:rPr>
          <w:rFonts w:ascii="Times New Roman" w:hAnsi="Times New Roman" w:cs="Times New Roman"/>
          <w:iCs/>
          <w:sz w:val="24"/>
          <w:szCs w:val="24"/>
        </w:rPr>
      </w:pPr>
      <w:r w:rsidRPr="00EB4AF2">
        <w:rPr>
          <w:rFonts w:ascii="Times New Roman" w:hAnsi="Times New Roman" w:cs="Times New Roman"/>
          <w:b/>
          <w:bCs/>
          <w:i/>
          <w:iCs/>
          <w:sz w:val="24"/>
          <w:szCs w:val="24"/>
        </w:rPr>
        <w:t>Axxam (La famille étendue)</w:t>
      </w:r>
      <w:r w:rsidR="001A0935" w:rsidRPr="00EB4AF2">
        <w:rPr>
          <w:rFonts w:ascii="Times New Roman" w:hAnsi="Times New Roman" w:cs="Times New Roman"/>
          <w:b/>
          <w:bCs/>
          <w:i/>
          <w:iCs/>
          <w:sz w:val="24"/>
          <w:szCs w:val="24"/>
        </w:rPr>
        <w:t xml:space="preserve"> : </w:t>
      </w:r>
      <w:r w:rsidRPr="00EB4AF2">
        <w:rPr>
          <w:rFonts w:ascii="Times New Roman" w:hAnsi="Times New Roman" w:cs="Times New Roman"/>
          <w:iCs/>
          <w:sz w:val="24"/>
          <w:szCs w:val="24"/>
        </w:rPr>
        <w:t xml:space="preserve">c’est la première cellule de base de la société berbère traditionnelle : elle réunit sous le même toit plusieurs générations et plusieurs ménages. Les fils mariés et parfois les petits fils mariés continuent à vivre sous le même toit. Quand l’espace manque, on ajoute de nouvelles pièces à la maison. Parfois, sur décision de l’aïeul, les enfants ainés reçoivent leurs parts de l’héritage et fondent à leur tour un foyer. </w:t>
      </w:r>
      <w:r w:rsidR="000069C8" w:rsidRPr="00EB4AF2">
        <w:rPr>
          <w:rFonts w:ascii="Times New Roman" w:hAnsi="Times New Roman" w:cs="Times New Roman"/>
          <w:iCs/>
          <w:sz w:val="24"/>
          <w:szCs w:val="24"/>
        </w:rPr>
        <w:t>La famille dans la société n’est pas seulement une source de sécurité, mais aussi un élément de continuité pour toute la société.</w:t>
      </w:r>
    </w:p>
    <w:p w:rsidR="00E61FC1" w:rsidRPr="00EB4AF2" w:rsidRDefault="00E61FC1" w:rsidP="00EB4AF2">
      <w:pPr>
        <w:pStyle w:val="Paragraphedeliste"/>
        <w:numPr>
          <w:ilvl w:val="0"/>
          <w:numId w:val="4"/>
        </w:numPr>
        <w:jc w:val="both"/>
        <w:rPr>
          <w:rFonts w:ascii="Times New Roman" w:hAnsi="Times New Roman" w:cs="Times New Roman"/>
          <w:iCs/>
          <w:sz w:val="24"/>
          <w:szCs w:val="24"/>
        </w:rPr>
      </w:pPr>
      <w:r w:rsidRPr="00EB4AF2">
        <w:rPr>
          <w:rFonts w:ascii="Times New Roman" w:hAnsi="Times New Roman" w:cs="Times New Roman"/>
          <w:b/>
          <w:bCs/>
          <w:sz w:val="24"/>
          <w:szCs w:val="24"/>
        </w:rPr>
        <w:t>Taxerrubt (fraction)</w:t>
      </w:r>
      <w:r w:rsidR="001A0935" w:rsidRPr="00EB4AF2">
        <w:rPr>
          <w:rFonts w:ascii="Times New Roman" w:hAnsi="Times New Roman" w:cs="Times New Roman"/>
          <w:b/>
          <w:bCs/>
          <w:sz w:val="24"/>
          <w:szCs w:val="24"/>
        </w:rPr>
        <w:t> :</w:t>
      </w:r>
      <w:r w:rsidR="001A0935" w:rsidRPr="00EB4AF2">
        <w:rPr>
          <w:rFonts w:ascii="Times New Roman" w:hAnsi="Times New Roman" w:cs="Times New Roman"/>
          <w:sz w:val="24"/>
          <w:szCs w:val="24"/>
        </w:rPr>
        <w:t>c’</w:t>
      </w:r>
      <w:r w:rsidRPr="00EB4AF2">
        <w:rPr>
          <w:rFonts w:ascii="Times New Roman" w:hAnsi="Times New Roman" w:cs="Times New Roman"/>
          <w:sz w:val="24"/>
          <w:szCs w:val="24"/>
        </w:rPr>
        <w:t xml:space="preserve">est l’extension de la famille élargie. Elle occupe un espace bien défini. Avant l’introduction du nom patronymique, par l’administration coloniale, les membres de Taxerrubt (fraction), s’identifiaient à son nom. Un ensemble de tixerrubin (fractions) composent adrum (le quartier). Cependant, imsenden ou iberraniyen (familles étrangères) qui se trouvent dans le village, s’insèrent dans les différentes fractions. </w:t>
      </w:r>
    </w:p>
    <w:p w:rsidR="00A542D6"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Adrum (quartier)</w:t>
      </w:r>
      <w:r w:rsidR="00A542D6" w:rsidRPr="00EB4AF2">
        <w:rPr>
          <w:rFonts w:ascii="Times New Roman" w:hAnsi="Times New Roman" w:cs="Times New Roman"/>
          <w:sz w:val="24"/>
          <w:szCs w:val="24"/>
        </w:rPr>
        <w:t xml:space="preserve"> : il arrive que plusieurs ixerban aient des liens de solidarité supplémentaires, elles se groupent alors en Adrum. </w:t>
      </w:r>
    </w:p>
    <w:p w:rsidR="00E61FC1"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Taddart (le village)</w:t>
      </w:r>
      <w:r w:rsidRPr="00EB4AF2">
        <w:rPr>
          <w:rFonts w:ascii="Times New Roman" w:hAnsi="Times New Roman" w:cs="Times New Roman"/>
          <w:sz w:val="24"/>
          <w:szCs w:val="24"/>
        </w:rPr>
        <w:t>:</w:t>
      </w:r>
      <w:r w:rsidR="00A542D6" w:rsidRPr="00EB4AF2">
        <w:rPr>
          <w:rFonts w:ascii="Times New Roman" w:hAnsi="Times New Roman" w:cs="Times New Roman"/>
          <w:sz w:val="24"/>
          <w:szCs w:val="24"/>
        </w:rPr>
        <w:t xml:space="preserve">c’est une unité politique et administrative fondamentale de la société Kabyle, elle a son territoire propre. Taddart est donc formée par plusieurs iderma. Les habitants tournent le dos </w:t>
      </w:r>
      <w:r w:rsidR="00904E3B" w:rsidRPr="00EB4AF2">
        <w:rPr>
          <w:rFonts w:ascii="Times New Roman" w:hAnsi="Times New Roman" w:cs="Times New Roman"/>
          <w:sz w:val="24"/>
          <w:szCs w:val="24"/>
        </w:rPr>
        <w:t xml:space="preserve">à l’extérieur et forment une enceinte, ce qui rend la défense aisée. </w:t>
      </w:r>
    </w:p>
    <w:p w:rsidR="00E61FC1"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lâarch (tribu) :</w:t>
      </w:r>
      <w:r w:rsidR="00904E3B" w:rsidRPr="00EB4AF2">
        <w:rPr>
          <w:rFonts w:ascii="Times New Roman" w:hAnsi="Times New Roman" w:cs="Times New Roman"/>
          <w:sz w:val="24"/>
          <w:szCs w:val="24"/>
        </w:rPr>
        <w:t>c’est un ensemble de villages dont le nom est celui d’un anc</w:t>
      </w:r>
      <w:r w:rsidR="00890F2A">
        <w:rPr>
          <w:rFonts w:ascii="Times New Roman" w:hAnsi="Times New Roman" w:cs="Times New Roman"/>
          <w:sz w:val="24"/>
          <w:szCs w:val="24"/>
        </w:rPr>
        <w:t>ê</w:t>
      </w:r>
      <w:r w:rsidR="00904E3B" w:rsidRPr="00EB4AF2">
        <w:rPr>
          <w:rFonts w:ascii="Times New Roman" w:hAnsi="Times New Roman" w:cs="Times New Roman"/>
          <w:sz w:val="24"/>
          <w:szCs w:val="24"/>
        </w:rPr>
        <w:t>tre plus mythique que ré</w:t>
      </w:r>
      <w:r w:rsidR="00890F2A">
        <w:rPr>
          <w:rFonts w:ascii="Times New Roman" w:hAnsi="Times New Roman" w:cs="Times New Roman"/>
          <w:sz w:val="24"/>
          <w:szCs w:val="24"/>
        </w:rPr>
        <w:t>e</w:t>
      </w:r>
      <w:r w:rsidR="00904E3B" w:rsidRPr="00EB4AF2">
        <w:rPr>
          <w:rFonts w:ascii="Times New Roman" w:hAnsi="Times New Roman" w:cs="Times New Roman"/>
          <w:sz w:val="24"/>
          <w:szCs w:val="24"/>
        </w:rPr>
        <w:t>l. Il avait une assemblée propre comp</w:t>
      </w:r>
      <w:r w:rsidR="00890F2A">
        <w:rPr>
          <w:rFonts w:ascii="Times New Roman" w:hAnsi="Times New Roman" w:cs="Times New Roman"/>
          <w:sz w:val="24"/>
          <w:szCs w:val="24"/>
        </w:rPr>
        <w:t>o</w:t>
      </w:r>
      <w:r w:rsidR="00DC2013">
        <w:rPr>
          <w:rFonts w:ascii="Times New Roman" w:hAnsi="Times New Roman" w:cs="Times New Roman"/>
          <w:sz w:val="24"/>
          <w:szCs w:val="24"/>
        </w:rPr>
        <w:t>sée des représentants des</w:t>
      </w:r>
      <w:r w:rsidR="00904E3B" w:rsidRPr="00EB4AF2">
        <w:rPr>
          <w:rFonts w:ascii="Times New Roman" w:hAnsi="Times New Roman" w:cs="Times New Roman"/>
          <w:sz w:val="24"/>
          <w:szCs w:val="24"/>
        </w:rPr>
        <w:t xml:space="preserve"> village</w:t>
      </w:r>
      <w:r w:rsidR="00DC2013">
        <w:rPr>
          <w:rFonts w:ascii="Times New Roman" w:hAnsi="Times New Roman" w:cs="Times New Roman"/>
          <w:sz w:val="24"/>
          <w:szCs w:val="24"/>
        </w:rPr>
        <w:t>s</w:t>
      </w:r>
      <w:r w:rsidR="00904E3B" w:rsidRPr="00EB4AF2">
        <w:rPr>
          <w:rFonts w:ascii="Times New Roman" w:hAnsi="Times New Roman" w:cs="Times New Roman"/>
          <w:sz w:val="24"/>
          <w:szCs w:val="24"/>
        </w:rPr>
        <w:t xml:space="preserve">. </w:t>
      </w:r>
    </w:p>
    <w:p w:rsidR="00E61FC1" w:rsidRPr="00EB4AF2" w:rsidRDefault="00E61FC1" w:rsidP="00EB4AF2">
      <w:pPr>
        <w:pStyle w:val="Paragraphedeliste"/>
        <w:numPr>
          <w:ilvl w:val="0"/>
          <w:numId w:val="4"/>
        </w:numPr>
        <w:jc w:val="both"/>
        <w:rPr>
          <w:rFonts w:ascii="Times New Roman" w:hAnsi="Times New Roman" w:cs="Times New Roman"/>
          <w:sz w:val="24"/>
          <w:szCs w:val="24"/>
        </w:rPr>
      </w:pPr>
      <w:r w:rsidRPr="00EB4AF2">
        <w:rPr>
          <w:rFonts w:ascii="Times New Roman" w:hAnsi="Times New Roman" w:cs="Times New Roman"/>
          <w:b/>
          <w:bCs/>
          <w:sz w:val="24"/>
          <w:szCs w:val="24"/>
        </w:rPr>
        <w:t xml:space="preserve">Taqbilt (Une confédération) : </w:t>
      </w:r>
      <w:r w:rsidR="00904E3B" w:rsidRPr="00EB4AF2">
        <w:rPr>
          <w:rFonts w:ascii="Times New Roman" w:hAnsi="Times New Roman" w:cs="Times New Roman"/>
          <w:bCs/>
          <w:sz w:val="24"/>
          <w:szCs w:val="24"/>
        </w:rPr>
        <w:t>c’est une unité difficile à définir. Elle regroupe plusieurs archs. Dans ce sens écrivent Hanoteaux et Letourneux « Ce dernier terme de la série fédérative</w:t>
      </w:r>
      <w:r w:rsidR="00F04A0E">
        <w:rPr>
          <w:rFonts w:ascii="Times New Roman" w:hAnsi="Times New Roman" w:cs="Times New Roman"/>
          <w:bCs/>
          <w:sz w:val="24"/>
          <w:szCs w:val="24"/>
        </w:rPr>
        <w:t xml:space="preserve"> </w:t>
      </w:r>
      <w:r w:rsidR="00904E3B" w:rsidRPr="00EB4AF2">
        <w:rPr>
          <w:rFonts w:ascii="Times New Roman" w:hAnsi="Times New Roman" w:cs="Times New Roman"/>
          <w:sz w:val="24"/>
          <w:szCs w:val="24"/>
        </w:rPr>
        <w:t>chez les Kabyles. Il est très rare que plusieurs fédérations s’unissent par des liens permanents, quand elles se liguent, c’est toujours dans un but de défense ou d’association commune et l’alliance cesse d’</w:t>
      </w:r>
      <w:r w:rsidR="001929A5" w:rsidRPr="00EB4AF2">
        <w:rPr>
          <w:rFonts w:ascii="Times New Roman" w:hAnsi="Times New Roman" w:cs="Times New Roman"/>
          <w:sz w:val="24"/>
          <w:szCs w:val="24"/>
        </w:rPr>
        <w:t>elle-même</w:t>
      </w:r>
      <w:r w:rsidR="00904E3B" w:rsidRPr="00EB4AF2">
        <w:rPr>
          <w:rFonts w:ascii="Times New Roman" w:hAnsi="Times New Roman" w:cs="Times New Roman"/>
          <w:sz w:val="24"/>
          <w:szCs w:val="24"/>
        </w:rPr>
        <w:t xml:space="preserve">, avec la cause qui l’a fait naitre." </w:t>
      </w:r>
    </w:p>
    <w:p w:rsidR="007B2215" w:rsidRPr="007B2215" w:rsidRDefault="007B2215" w:rsidP="007B2215">
      <w:pPr>
        <w:pStyle w:val="Paragraphedeliste"/>
        <w:jc w:val="both"/>
        <w:rPr>
          <w:rFonts w:ascii="Times New Roman" w:hAnsi="Times New Roman" w:cs="Times New Roman"/>
          <w:sz w:val="24"/>
          <w:szCs w:val="24"/>
        </w:rPr>
      </w:pPr>
    </w:p>
    <w:p w:rsidR="00E61FC1" w:rsidRPr="007B2215" w:rsidRDefault="00904E3B" w:rsidP="007B2215">
      <w:pPr>
        <w:pStyle w:val="Paragraphedeliste"/>
        <w:numPr>
          <w:ilvl w:val="0"/>
          <w:numId w:val="2"/>
        </w:numPr>
        <w:jc w:val="both"/>
        <w:rPr>
          <w:rFonts w:ascii="Times New Roman" w:hAnsi="Times New Roman" w:cs="Times New Roman"/>
          <w:sz w:val="24"/>
          <w:szCs w:val="24"/>
        </w:rPr>
      </w:pPr>
      <w:r w:rsidRPr="007B2215">
        <w:rPr>
          <w:rFonts w:ascii="Times New Roman" w:hAnsi="Times New Roman" w:cs="Times New Roman"/>
          <w:b/>
          <w:bCs/>
          <w:sz w:val="24"/>
          <w:szCs w:val="24"/>
        </w:rPr>
        <w:t>O</w:t>
      </w:r>
      <w:r w:rsidR="00E61FC1" w:rsidRPr="007B2215">
        <w:rPr>
          <w:rFonts w:ascii="Times New Roman" w:hAnsi="Times New Roman" w:cs="Times New Roman"/>
          <w:b/>
          <w:bCs/>
          <w:sz w:val="24"/>
          <w:szCs w:val="24"/>
        </w:rPr>
        <w:t>rganisation politique</w:t>
      </w:r>
      <w:r w:rsidR="00E61FC1" w:rsidRPr="007B2215">
        <w:rPr>
          <w:rFonts w:ascii="Times New Roman" w:hAnsi="Times New Roman" w:cs="Times New Roman"/>
          <w:sz w:val="24"/>
          <w:szCs w:val="24"/>
        </w:rPr>
        <w:t xml:space="preserve"> : Elle repose sur une assemblée appelée communément </w:t>
      </w:r>
      <w:r w:rsidR="00E61FC1" w:rsidRPr="007B2215">
        <w:rPr>
          <w:rFonts w:ascii="Times New Roman" w:hAnsi="Times New Roman" w:cs="Times New Roman"/>
          <w:b/>
          <w:bCs/>
          <w:sz w:val="24"/>
          <w:szCs w:val="24"/>
        </w:rPr>
        <w:t xml:space="preserve">Djemaâ (b </w:t>
      </w:r>
      <w:r w:rsidR="00E61FC1" w:rsidRPr="007B2215">
        <w:rPr>
          <w:rFonts w:ascii="Times New Roman" w:hAnsi="Times New Roman" w:cs="Times New Roman"/>
          <w:b/>
          <w:bCs/>
          <w:i/>
          <w:iCs/>
          <w:sz w:val="24"/>
          <w:szCs w:val="24"/>
        </w:rPr>
        <w:t>tajmaεt</w:t>
      </w:r>
      <w:r w:rsidR="00E61FC1" w:rsidRPr="007B2215">
        <w:rPr>
          <w:rFonts w:ascii="Times New Roman" w:hAnsi="Times New Roman" w:cs="Times New Roman"/>
          <w:b/>
          <w:bCs/>
          <w:sz w:val="24"/>
          <w:szCs w:val="24"/>
        </w:rPr>
        <w:t>, de l’arabe djamaa).</w:t>
      </w:r>
      <w:r w:rsidR="00E61FC1" w:rsidRPr="007B2215">
        <w:rPr>
          <w:rFonts w:ascii="Times New Roman" w:hAnsi="Times New Roman" w:cs="Times New Roman"/>
          <w:sz w:val="24"/>
          <w:szCs w:val="24"/>
        </w:rPr>
        <w:t xml:space="preserve"> Chaque tribu possède son assemblée, mais le pouvoir réel appartient aux assemblées de fractions qui détiennent les pouvoirs législatif et juridique)</w:t>
      </w:r>
    </w:p>
    <w:p w:rsidR="00EB4AF2" w:rsidRPr="00EB4AF2" w:rsidRDefault="001929A5" w:rsidP="001929A5">
      <w:pPr>
        <w:ind w:firstLine="708"/>
        <w:jc w:val="both"/>
        <w:rPr>
          <w:rFonts w:ascii="Times New Roman" w:hAnsi="Times New Roman" w:cs="Times New Roman"/>
          <w:b/>
          <w:bCs/>
          <w:sz w:val="24"/>
          <w:szCs w:val="24"/>
        </w:rPr>
      </w:pPr>
      <w:r w:rsidRPr="00EB4AF2">
        <w:rPr>
          <w:rFonts w:ascii="Times New Roman" w:hAnsi="Times New Roman" w:cs="Times New Roman"/>
          <w:b/>
          <w:bCs/>
          <w:sz w:val="24"/>
          <w:szCs w:val="24"/>
        </w:rPr>
        <w:t>La Djemaâ chez les Kabyles </w:t>
      </w:r>
    </w:p>
    <w:p w:rsidR="001929A5" w:rsidRPr="00EB4AF2" w:rsidRDefault="001929A5" w:rsidP="00EB4AF2">
      <w:pPr>
        <w:ind w:left="708"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 D’abord les Djemaâ dans les cités Kabyles sont décrites comme formant de petits sénats qui sont dirigés par l</w:t>
      </w:r>
      <w:r w:rsidRPr="00EB4AF2">
        <w:rPr>
          <w:rFonts w:ascii="Times New Roman" w:hAnsi="Times New Roman" w:cs="Times New Roman"/>
          <w:b/>
          <w:bCs/>
          <w:sz w:val="24"/>
          <w:szCs w:val="24"/>
        </w:rPr>
        <w:t>es Amin, les oukils, les Temman ainsi que les oqqal ;</w:t>
      </w:r>
      <w:r w:rsidRPr="00EB4AF2">
        <w:rPr>
          <w:rFonts w:ascii="Times New Roman" w:hAnsi="Times New Roman" w:cs="Times New Roman"/>
          <w:sz w:val="24"/>
          <w:szCs w:val="24"/>
        </w:rPr>
        <w:t xml:space="preserve"> donc composés de personnes les plus influentes du village et dont les rôles, selon les écrits de Masqueray, étaient « de gérer les finances, y assurent l’ordre, en font les lois … l’égalité des droits sont la base fondamentale de leur société »</w:t>
      </w:r>
    </w:p>
    <w:p w:rsidR="00E61FC1" w:rsidRPr="00EB4AF2" w:rsidRDefault="00E61FC1" w:rsidP="001929A5">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L’assemblée élue comprend des membres et un chef appelé </w:t>
      </w:r>
      <w:r w:rsidRPr="00EB4AF2">
        <w:rPr>
          <w:rFonts w:ascii="Times New Roman" w:hAnsi="Times New Roman" w:cs="Times New Roman"/>
          <w:b/>
          <w:bCs/>
          <w:i/>
          <w:iCs/>
          <w:sz w:val="24"/>
          <w:szCs w:val="24"/>
        </w:rPr>
        <w:t>amγar</w:t>
      </w:r>
      <w:r w:rsidRPr="00EB4AF2">
        <w:rPr>
          <w:rFonts w:ascii="Times New Roman" w:hAnsi="Times New Roman" w:cs="Times New Roman"/>
          <w:b/>
          <w:bCs/>
          <w:sz w:val="24"/>
          <w:szCs w:val="24"/>
        </w:rPr>
        <w:t xml:space="preserve"> « chef, sage »,</w:t>
      </w:r>
      <w:r w:rsidRPr="00EB4AF2">
        <w:rPr>
          <w:rFonts w:ascii="Times New Roman" w:hAnsi="Times New Roman" w:cs="Times New Roman"/>
          <w:sz w:val="24"/>
          <w:szCs w:val="24"/>
        </w:rPr>
        <w:t xml:space="preserve"> ou </w:t>
      </w:r>
      <w:r w:rsidRPr="00EB4AF2">
        <w:rPr>
          <w:rFonts w:ascii="Times New Roman" w:hAnsi="Times New Roman" w:cs="Times New Roman"/>
          <w:b/>
          <w:bCs/>
          <w:i/>
          <w:iCs/>
          <w:sz w:val="24"/>
          <w:szCs w:val="24"/>
        </w:rPr>
        <w:t>amuqqran</w:t>
      </w:r>
      <w:r w:rsidRPr="00EB4AF2">
        <w:rPr>
          <w:rFonts w:ascii="Times New Roman" w:hAnsi="Times New Roman" w:cs="Times New Roman"/>
          <w:b/>
          <w:bCs/>
          <w:sz w:val="24"/>
          <w:szCs w:val="24"/>
        </w:rPr>
        <w:t>, « grand ».</w:t>
      </w:r>
      <w:r w:rsidRPr="00EB4AF2">
        <w:rPr>
          <w:rFonts w:ascii="Times New Roman" w:hAnsi="Times New Roman" w:cs="Times New Roman"/>
          <w:sz w:val="24"/>
          <w:szCs w:val="24"/>
        </w:rPr>
        <w:t xml:space="preserve"> C’est lui qui convoque les assemblées, préside les réunions et arbitre les conflits. Pour permettre à chacun de participer à la gestion de la cité, la présence de tous les adultes mâles aux assemblées est exigée. En Kabylie par exemple, il était d’usage de frapper d’amende les absents. </w:t>
      </w:r>
    </w:p>
    <w:p w:rsidR="00023FE4" w:rsidRPr="00EB4AF2" w:rsidRDefault="00023FE4"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L’Amin est une personne nommée par tous les citoyens car il jouit d’une grande influence. Il jour le </w:t>
      </w:r>
      <w:r w:rsidR="003903C9" w:rsidRPr="00EB4AF2">
        <w:rPr>
          <w:rFonts w:ascii="Times New Roman" w:hAnsi="Times New Roman" w:cs="Times New Roman"/>
          <w:sz w:val="24"/>
          <w:szCs w:val="24"/>
        </w:rPr>
        <w:t>rôle</w:t>
      </w:r>
      <w:r w:rsidRPr="00EB4AF2">
        <w:rPr>
          <w:rFonts w:ascii="Times New Roman" w:hAnsi="Times New Roman" w:cs="Times New Roman"/>
          <w:sz w:val="24"/>
          <w:szCs w:val="24"/>
        </w:rPr>
        <w:t xml:space="preserve"> d’un maire, d’un administrateur et </w:t>
      </w:r>
      <w:r w:rsidR="00EB4AF2" w:rsidRPr="00EB4AF2">
        <w:rPr>
          <w:rFonts w:ascii="Times New Roman" w:hAnsi="Times New Roman" w:cs="Times New Roman"/>
          <w:sz w:val="24"/>
          <w:szCs w:val="24"/>
        </w:rPr>
        <w:t>même</w:t>
      </w:r>
      <w:r w:rsidRPr="00EB4AF2">
        <w:rPr>
          <w:rFonts w:ascii="Times New Roman" w:hAnsi="Times New Roman" w:cs="Times New Roman"/>
          <w:sz w:val="24"/>
          <w:szCs w:val="24"/>
        </w:rPr>
        <w:t xml:space="preserve"> d’un juge. On le retrouve sous le nom de berger, </w:t>
      </w:r>
      <w:r w:rsidRPr="003903C9">
        <w:rPr>
          <w:rFonts w:ascii="Times New Roman" w:hAnsi="Times New Roman" w:cs="Times New Roman"/>
          <w:i/>
          <w:sz w:val="24"/>
          <w:szCs w:val="24"/>
        </w:rPr>
        <w:t>ameksa</w:t>
      </w:r>
      <w:r w:rsidRPr="00EB4AF2">
        <w:rPr>
          <w:rFonts w:ascii="Times New Roman" w:hAnsi="Times New Roman" w:cs="Times New Roman"/>
          <w:sz w:val="24"/>
          <w:szCs w:val="24"/>
        </w:rPr>
        <w:t xml:space="preserve">. </w:t>
      </w:r>
    </w:p>
    <w:p w:rsidR="000D17BB" w:rsidRPr="00EB4AF2" w:rsidRDefault="00A542D6" w:rsidP="00E61FC1">
      <w:pPr>
        <w:ind w:firstLine="708"/>
        <w:jc w:val="both"/>
        <w:rPr>
          <w:rFonts w:ascii="Times New Roman" w:hAnsi="Times New Roman" w:cs="Times New Roman"/>
          <w:i/>
          <w:sz w:val="24"/>
          <w:szCs w:val="24"/>
        </w:rPr>
      </w:pPr>
      <w:r w:rsidRPr="00EB4AF2">
        <w:rPr>
          <w:rFonts w:ascii="Times New Roman" w:hAnsi="Times New Roman" w:cs="Times New Roman"/>
          <w:sz w:val="24"/>
          <w:szCs w:val="24"/>
        </w:rPr>
        <w:t xml:space="preserve">Emile Masqueray décrit le </w:t>
      </w:r>
      <w:r w:rsidR="00EB4AF2" w:rsidRPr="00EB4AF2">
        <w:rPr>
          <w:rFonts w:ascii="Times New Roman" w:hAnsi="Times New Roman" w:cs="Times New Roman"/>
          <w:sz w:val="24"/>
          <w:szCs w:val="24"/>
        </w:rPr>
        <w:t>rôle</w:t>
      </w:r>
      <w:r w:rsidRPr="00EB4AF2">
        <w:rPr>
          <w:rFonts w:ascii="Times New Roman" w:hAnsi="Times New Roman" w:cs="Times New Roman"/>
          <w:sz w:val="24"/>
          <w:szCs w:val="24"/>
        </w:rPr>
        <w:t xml:space="preserve"> de </w:t>
      </w:r>
      <w:r w:rsidR="000D17BB" w:rsidRPr="00EB4AF2">
        <w:rPr>
          <w:rFonts w:ascii="Times New Roman" w:hAnsi="Times New Roman" w:cs="Times New Roman"/>
          <w:sz w:val="24"/>
          <w:szCs w:val="24"/>
        </w:rPr>
        <w:t>l’</w:t>
      </w:r>
      <w:r w:rsidR="000D17BB" w:rsidRPr="003903C9">
        <w:rPr>
          <w:rFonts w:ascii="Times New Roman" w:hAnsi="Times New Roman" w:cs="Times New Roman"/>
          <w:i/>
          <w:sz w:val="24"/>
          <w:szCs w:val="24"/>
        </w:rPr>
        <w:t>Amin</w:t>
      </w:r>
      <w:r w:rsidRPr="00EB4AF2">
        <w:rPr>
          <w:rFonts w:ascii="Times New Roman" w:hAnsi="Times New Roman" w:cs="Times New Roman"/>
          <w:sz w:val="24"/>
          <w:szCs w:val="24"/>
        </w:rPr>
        <w:t xml:space="preserve"> en disant </w:t>
      </w:r>
      <w:r w:rsidRPr="00EB4AF2">
        <w:rPr>
          <w:rFonts w:ascii="Times New Roman" w:hAnsi="Times New Roman" w:cs="Times New Roman"/>
          <w:i/>
          <w:sz w:val="24"/>
          <w:szCs w:val="24"/>
        </w:rPr>
        <w:t>« </w:t>
      </w:r>
      <w:r w:rsidR="000D17BB" w:rsidRPr="00EB4AF2">
        <w:rPr>
          <w:rFonts w:ascii="Times New Roman" w:hAnsi="Times New Roman" w:cs="Times New Roman"/>
          <w:i/>
          <w:sz w:val="24"/>
          <w:szCs w:val="24"/>
        </w:rPr>
        <w:t xml:space="preserve">son action s’étend à tout ce qui intéresse l’ordre, la morale, l’exécution des </w:t>
      </w:r>
      <w:r w:rsidR="00EB4AF2" w:rsidRPr="00EB4AF2">
        <w:rPr>
          <w:rFonts w:ascii="Times New Roman" w:hAnsi="Times New Roman" w:cs="Times New Roman"/>
          <w:i/>
          <w:sz w:val="24"/>
          <w:szCs w:val="24"/>
        </w:rPr>
        <w:t>règlements</w:t>
      </w:r>
      <w:r w:rsidR="000D17BB" w:rsidRPr="00EB4AF2">
        <w:rPr>
          <w:rFonts w:ascii="Times New Roman" w:hAnsi="Times New Roman" w:cs="Times New Roman"/>
          <w:i/>
          <w:sz w:val="24"/>
          <w:szCs w:val="24"/>
        </w:rPr>
        <w:t>, la protection des personnes et des propriétés. Il préside toutes les réunions publiques, il veille à l’entretien et la conservation des biens communaux, répartit les corvées, perçoit le</w:t>
      </w:r>
      <w:r w:rsidR="00503353">
        <w:rPr>
          <w:rFonts w:ascii="Times New Roman" w:hAnsi="Times New Roman" w:cs="Times New Roman"/>
          <w:i/>
          <w:sz w:val="24"/>
          <w:szCs w:val="24"/>
        </w:rPr>
        <w:t>s amendes, fait rentrer les impô</w:t>
      </w:r>
      <w:r w:rsidR="000D17BB" w:rsidRPr="00EB4AF2">
        <w:rPr>
          <w:rFonts w:ascii="Times New Roman" w:hAnsi="Times New Roman" w:cs="Times New Roman"/>
          <w:i/>
          <w:sz w:val="24"/>
          <w:szCs w:val="24"/>
        </w:rPr>
        <w:t xml:space="preserve">ts, pourvoit à la sécurité des étrangers, assigne les postes en cas de guerre, visite les armes et distribue les munitions » </w:t>
      </w:r>
    </w:p>
    <w:p w:rsidR="00023FE4" w:rsidRPr="00EB4AF2" w:rsidRDefault="00023FE4"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Le </w:t>
      </w:r>
      <w:r w:rsidR="00BB4F9D" w:rsidRPr="00EB4AF2">
        <w:rPr>
          <w:rFonts w:ascii="Times New Roman" w:hAnsi="Times New Roman" w:cs="Times New Roman"/>
          <w:sz w:val="24"/>
          <w:szCs w:val="24"/>
        </w:rPr>
        <w:t>rôle</w:t>
      </w:r>
      <w:r w:rsidRPr="00EB4AF2">
        <w:rPr>
          <w:rFonts w:ascii="Times New Roman" w:hAnsi="Times New Roman" w:cs="Times New Roman"/>
          <w:sz w:val="24"/>
          <w:szCs w:val="24"/>
        </w:rPr>
        <w:t xml:space="preserve"> de l’oukil selon l’auteur, n’est pas seulement comme l’adjoint de l’Amin. Il s’occupe aussi de la comptabilité des biens religieux et des dépenses de la Djemaa. </w:t>
      </w:r>
    </w:p>
    <w:p w:rsidR="001929A5" w:rsidRPr="00EB4AF2" w:rsidRDefault="00023FE4"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Quant aux Temman, ils sont choisis par l’Amin dans chacune des kharroubas</w:t>
      </w:r>
      <w:r w:rsidR="000D17BB" w:rsidRPr="00EB4AF2">
        <w:rPr>
          <w:rFonts w:ascii="Times New Roman" w:hAnsi="Times New Roman" w:cs="Times New Roman"/>
          <w:sz w:val="24"/>
          <w:szCs w:val="24"/>
        </w:rPr>
        <w:t xml:space="preserve"> afin d’y faire respecter les décisions de la Djemaa.</w:t>
      </w:r>
    </w:p>
    <w:p w:rsidR="00EB4AF2" w:rsidRPr="00EB4AF2" w:rsidRDefault="00EB4AF2" w:rsidP="00EB4AF2">
      <w:pPr>
        <w:pStyle w:val="Paragraphedeliste"/>
        <w:numPr>
          <w:ilvl w:val="0"/>
          <w:numId w:val="2"/>
        </w:numPr>
        <w:jc w:val="both"/>
        <w:rPr>
          <w:rFonts w:ascii="Times New Roman" w:hAnsi="Times New Roman" w:cs="Times New Roman"/>
          <w:b/>
          <w:sz w:val="24"/>
          <w:szCs w:val="24"/>
        </w:rPr>
      </w:pPr>
      <w:r w:rsidRPr="00EB4AF2">
        <w:rPr>
          <w:rFonts w:ascii="Times New Roman" w:hAnsi="Times New Roman" w:cs="Times New Roman"/>
          <w:b/>
          <w:sz w:val="24"/>
          <w:szCs w:val="24"/>
        </w:rPr>
        <w:t>Rôle de la Djemaa en Kabylie </w:t>
      </w:r>
    </w:p>
    <w:p w:rsidR="00BB4F9D" w:rsidRPr="00EB4AF2" w:rsidRDefault="001929A5"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 Djemaa était la colonne vertébrale de la Kabylie. Elle était présente tout le temps et dans tous les lieux. Elle brillait </w:t>
      </w:r>
      <w:r w:rsidR="00BB4F9D" w:rsidRPr="00EB4AF2">
        <w:rPr>
          <w:rFonts w:ascii="Times New Roman" w:hAnsi="Times New Roman" w:cs="Times New Roman"/>
          <w:sz w:val="24"/>
          <w:szCs w:val="24"/>
        </w:rPr>
        <w:t xml:space="preserve">par ses manifestations et ses actions et était crainte par chaque grande et petite veine du corps social. Elle se basait sur l’égalité des droits de </w:t>
      </w:r>
      <w:r w:rsidR="007B2215" w:rsidRPr="00EB4AF2">
        <w:rPr>
          <w:rFonts w:ascii="Times New Roman" w:hAnsi="Times New Roman" w:cs="Times New Roman"/>
          <w:sz w:val="24"/>
          <w:szCs w:val="24"/>
        </w:rPr>
        <w:t>tous.</w:t>
      </w:r>
    </w:p>
    <w:p w:rsidR="00023FE4" w:rsidRPr="00EB4AF2" w:rsidRDefault="00BB4F9D" w:rsidP="00E61FC1">
      <w:pPr>
        <w:ind w:firstLine="708"/>
        <w:jc w:val="both"/>
        <w:rPr>
          <w:rFonts w:ascii="Times New Roman" w:hAnsi="Times New Roman" w:cs="Times New Roman"/>
          <w:sz w:val="24"/>
          <w:szCs w:val="24"/>
        </w:rPr>
      </w:pPr>
      <w:r w:rsidRPr="00EB4AF2">
        <w:rPr>
          <w:rFonts w:ascii="Times New Roman" w:hAnsi="Times New Roman" w:cs="Times New Roman"/>
          <w:sz w:val="24"/>
          <w:szCs w:val="24"/>
        </w:rPr>
        <w:t xml:space="preserve">La Djemaa gérait les situations et les circonstances atténuantes selon une charte sociale fondée sur un ensemble de lois nommées kanoun, et chaque village avait son propre kanoun inspiré à la fois de la religion, des coutumes, des traditions et mœurs de la Kabylie ; un élément d’appui chez le colonialisme pour trancher dans son discernement entre les sociétés qui formaient l’Algérie. </w:t>
      </w:r>
    </w:p>
    <w:p w:rsidR="00EB4AF2" w:rsidRDefault="00BB4F9D" w:rsidP="00BB4F9D">
      <w:pPr>
        <w:ind w:firstLine="708"/>
        <w:jc w:val="both"/>
        <w:rPr>
          <w:rFonts w:ascii="Times New Roman" w:hAnsi="Times New Roman" w:cs="Times New Roman"/>
          <w:sz w:val="24"/>
          <w:szCs w:val="24"/>
        </w:rPr>
      </w:pPr>
      <w:r w:rsidRPr="00EB4AF2">
        <w:rPr>
          <w:rFonts w:ascii="Times New Roman" w:hAnsi="Times New Roman" w:cs="Times New Roman"/>
          <w:sz w:val="24"/>
          <w:szCs w:val="24"/>
        </w:rPr>
        <w:t>Selon Hanoteau et Letourneux, l</w:t>
      </w:r>
      <w:r w:rsidR="00E61FC1" w:rsidRPr="00EB4AF2">
        <w:rPr>
          <w:rFonts w:ascii="Times New Roman" w:hAnsi="Times New Roman" w:cs="Times New Roman"/>
          <w:sz w:val="24"/>
          <w:szCs w:val="24"/>
        </w:rPr>
        <w:t>a Djemaâ ne se contente pas de régler</w:t>
      </w:r>
      <w:r w:rsidR="00503353">
        <w:rPr>
          <w:rFonts w:ascii="Times New Roman" w:hAnsi="Times New Roman" w:cs="Times New Roman"/>
          <w:sz w:val="24"/>
          <w:szCs w:val="24"/>
        </w:rPr>
        <w:t xml:space="preserve"> </w:t>
      </w:r>
      <w:r w:rsidR="00E61FC1" w:rsidRPr="00EB4AF2">
        <w:rPr>
          <w:rFonts w:ascii="Times New Roman" w:hAnsi="Times New Roman" w:cs="Times New Roman"/>
          <w:sz w:val="24"/>
          <w:szCs w:val="24"/>
        </w:rPr>
        <w:t>les conflits du village, mais bien plus que çà puisqu’elle se préoccupe des villageois, de leur vie sociale, des impôts et des amendes ainsi que de l’instauration de la paix et de la guerre.</w:t>
      </w:r>
      <w:r w:rsidR="00503353">
        <w:rPr>
          <w:rFonts w:ascii="Times New Roman" w:hAnsi="Times New Roman" w:cs="Times New Roman"/>
          <w:sz w:val="24"/>
          <w:szCs w:val="24"/>
        </w:rPr>
        <w:t xml:space="preserve"> </w:t>
      </w:r>
      <w:r w:rsidR="00E61FC1" w:rsidRPr="00EB4AF2">
        <w:rPr>
          <w:rFonts w:ascii="Times New Roman" w:hAnsi="Times New Roman" w:cs="Times New Roman"/>
          <w:sz w:val="24"/>
          <w:szCs w:val="24"/>
        </w:rPr>
        <w:t>En plus, elle décide du changement ou de la création des lois en cas de nouveaux conflits. Elle exerce également un pouvoir politique, administratif et même un pouvoir juridique, car elle joue le rôle de tribunal criminel, correctionnel et de police dans les cas de crimes ou d’infractions aux lois villageoises et municipales</w:t>
      </w:r>
      <w:r w:rsidR="00EB4AF2">
        <w:rPr>
          <w:rStyle w:val="Appelnotedebasdep"/>
          <w:rFonts w:ascii="Times New Roman" w:hAnsi="Times New Roman" w:cs="Times New Roman"/>
          <w:sz w:val="24"/>
          <w:szCs w:val="24"/>
        </w:rPr>
        <w:footnoteReference w:id="3"/>
      </w:r>
      <w:r w:rsidR="00E61FC1" w:rsidRPr="00EB4AF2">
        <w:rPr>
          <w:rFonts w:ascii="Times New Roman" w:hAnsi="Times New Roman" w:cs="Times New Roman"/>
          <w:sz w:val="24"/>
          <w:szCs w:val="24"/>
        </w:rPr>
        <w:t xml:space="preserve">. </w:t>
      </w:r>
    </w:p>
    <w:p w:rsidR="00E61FC1" w:rsidRPr="00EB4AF2" w:rsidRDefault="00E61FC1" w:rsidP="00BB4F9D">
      <w:pPr>
        <w:ind w:firstLine="708"/>
        <w:jc w:val="both"/>
        <w:rPr>
          <w:rFonts w:ascii="Times New Roman" w:hAnsi="Times New Roman" w:cs="Times New Roman"/>
        </w:rPr>
      </w:pPr>
    </w:p>
    <w:sectPr w:rsidR="00E61FC1" w:rsidRPr="00EB4AF2" w:rsidSect="007353B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8DB" w:rsidRDefault="00B628DB" w:rsidP="00E61FC1">
      <w:pPr>
        <w:spacing w:after="0" w:line="240" w:lineRule="auto"/>
      </w:pPr>
      <w:r>
        <w:separator/>
      </w:r>
    </w:p>
  </w:endnote>
  <w:endnote w:type="continuationSeparator" w:id="1">
    <w:p w:rsidR="00B628DB" w:rsidRDefault="00B628DB" w:rsidP="00E61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11477"/>
      <w:docPartObj>
        <w:docPartGallery w:val="Page Numbers (Bottom of Page)"/>
        <w:docPartUnique/>
      </w:docPartObj>
    </w:sdtPr>
    <w:sdtContent>
      <w:p w:rsidR="00E61FC1" w:rsidRDefault="00D76673">
        <w:pPr>
          <w:pStyle w:val="Pieddepage"/>
          <w:jc w:val="right"/>
        </w:pPr>
        <w:r>
          <w:fldChar w:fldCharType="begin"/>
        </w:r>
        <w:r w:rsidR="00E61FC1">
          <w:instrText>PAGE   \* MERGEFORMAT</w:instrText>
        </w:r>
        <w:r>
          <w:fldChar w:fldCharType="separate"/>
        </w:r>
        <w:r w:rsidR="00E46E6E">
          <w:rPr>
            <w:noProof/>
          </w:rPr>
          <w:t>1</w:t>
        </w:r>
        <w:r>
          <w:fldChar w:fldCharType="end"/>
        </w:r>
      </w:p>
    </w:sdtContent>
  </w:sdt>
  <w:p w:rsidR="00561543" w:rsidRDefault="00B628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8DB" w:rsidRDefault="00B628DB" w:rsidP="00E61FC1">
      <w:pPr>
        <w:spacing w:after="0" w:line="240" w:lineRule="auto"/>
      </w:pPr>
      <w:r>
        <w:separator/>
      </w:r>
    </w:p>
  </w:footnote>
  <w:footnote w:type="continuationSeparator" w:id="1">
    <w:p w:rsidR="00B628DB" w:rsidRDefault="00B628DB" w:rsidP="00E61FC1">
      <w:pPr>
        <w:spacing w:after="0" w:line="240" w:lineRule="auto"/>
      </w:pPr>
      <w:r>
        <w:continuationSeparator/>
      </w:r>
    </w:p>
  </w:footnote>
  <w:footnote w:id="2">
    <w:p w:rsidR="00DF7387" w:rsidRDefault="00DF7387">
      <w:pPr>
        <w:pStyle w:val="Notedebasdepage"/>
      </w:pPr>
      <w:r>
        <w:rPr>
          <w:rStyle w:val="Appelnotedebasdep"/>
        </w:rPr>
        <w:footnoteRef/>
      </w:r>
      <w:r>
        <w:t xml:space="preserve"> D. Kaltbrunner, « Recherches sur l’origine des Kabyles », le globe (Revue genevoise de Géographie), 1871</w:t>
      </w:r>
    </w:p>
  </w:footnote>
  <w:footnote w:id="3">
    <w:p w:rsidR="00EB4AF2" w:rsidRDefault="00EB4AF2">
      <w:pPr>
        <w:pStyle w:val="Notedebasdepage"/>
      </w:pPr>
      <w:r>
        <w:rPr>
          <w:rStyle w:val="Appelnotedebasdep"/>
        </w:rPr>
        <w:footnoteRef/>
      </w:r>
      <w:r>
        <w:t>Hanoteau et Letourneux, la Kabylie te les coutumes Kabyles, cité par Mohand-Akli Ferradji, La société Kabyle vue par des auteurs français du 19</w:t>
      </w:r>
      <w:r w:rsidRPr="00EB4AF2">
        <w:rPr>
          <w:vertAlign w:val="superscript"/>
        </w:rPr>
        <w:t>ème</w:t>
      </w:r>
      <w:r>
        <w:t xml:space="preserve"> siècle ; étude comparative avec des analyses anthropologiques récentes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9C3"/>
    <w:multiLevelType w:val="hybridMultilevel"/>
    <w:tmpl w:val="9A46FDA2"/>
    <w:lvl w:ilvl="0" w:tplc="5914EEB8">
      <w:start w:val="6"/>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3147849"/>
    <w:multiLevelType w:val="hybridMultilevel"/>
    <w:tmpl w:val="607027A2"/>
    <w:lvl w:ilvl="0" w:tplc="FC2257B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5EB87A5E"/>
    <w:multiLevelType w:val="hybridMultilevel"/>
    <w:tmpl w:val="54A6C650"/>
    <w:lvl w:ilvl="0" w:tplc="499E8F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79931CB"/>
    <w:multiLevelType w:val="hybridMultilevel"/>
    <w:tmpl w:val="C91CC198"/>
    <w:lvl w:ilvl="0" w:tplc="89CC00D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7B8A3C5D"/>
    <w:multiLevelType w:val="hybridMultilevel"/>
    <w:tmpl w:val="E0F23198"/>
    <w:lvl w:ilvl="0" w:tplc="D72C64EA">
      <w:start w:val="1"/>
      <w:numFmt w:val="lowerLetter"/>
      <w:lvlText w:val="%1-"/>
      <w:lvlJc w:val="left"/>
      <w:pPr>
        <w:ind w:left="1068" w:hanging="360"/>
      </w:pPr>
      <w:rPr>
        <w:rFonts w:hint="default"/>
        <w:b/>
        <w:i/>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9938"/>
  </w:hdrShapeDefaults>
  <w:footnotePr>
    <w:footnote w:id="0"/>
    <w:footnote w:id="1"/>
  </w:footnotePr>
  <w:endnotePr>
    <w:endnote w:id="0"/>
    <w:endnote w:id="1"/>
  </w:endnotePr>
  <w:compat/>
  <w:rsids>
    <w:rsidRoot w:val="00E61FC1"/>
    <w:rsid w:val="000069C8"/>
    <w:rsid w:val="00023FE4"/>
    <w:rsid w:val="0002737E"/>
    <w:rsid w:val="00037725"/>
    <w:rsid w:val="0007252A"/>
    <w:rsid w:val="00074BF2"/>
    <w:rsid w:val="0009756D"/>
    <w:rsid w:val="000B7491"/>
    <w:rsid w:val="000D17BB"/>
    <w:rsid w:val="001011CD"/>
    <w:rsid w:val="001929A5"/>
    <w:rsid w:val="001A0935"/>
    <w:rsid w:val="001E32E8"/>
    <w:rsid w:val="002868A5"/>
    <w:rsid w:val="00292C39"/>
    <w:rsid w:val="002C1CFF"/>
    <w:rsid w:val="002C7328"/>
    <w:rsid w:val="003903C9"/>
    <w:rsid w:val="003B0682"/>
    <w:rsid w:val="00414766"/>
    <w:rsid w:val="00503353"/>
    <w:rsid w:val="005A6AC6"/>
    <w:rsid w:val="0069266B"/>
    <w:rsid w:val="006A15EE"/>
    <w:rsid w:val="006A5791"/>
    <w:rsid w:val="0071538D"/>
    <w:rsid w:val="007B2215"/>
    <w:rsid w:val="007B42F7"/>
    <w:rsid w:val="007F2014"/>
    <w:rsid w:val="008040A4"/>
    <w:rsid w:val="00863C6D"/>
    <w:rsid w:val="00882B3C"/>
    <w:rsid w:val="00890F2A"/>
    <w:rsid w:val="008D42A5"/>
    <w:rsid w:val="008E46EB"/>
    <w:rsid w:val="00904E3B"/>
    <w:rsid w:val="00A542D6"/>
    <w:rsid w:val="00AB5EB7"/>
    <w:rsid w:val="00B628DB"/>
    <w:rsid w:val="00B73B08"/>
    <w:rsid w:val="00BB4F9D"/>
    <w:rsid w:val="00BC2B8F"/>
    <w:rsid w:val="00C2541C"/>
    <w:rsid w:val="00CF12B5"/>
    <w:rsid w:val="00D76673"/>
    <w:rsid w:val="00D77A68"/>
    <w:rsid w:val="00DC2013"/>
    <w:rsid w:val="00DC5ED9"/>
    <w:rsid w:val="00DF7387"/>
    <w:rsid w:val="00E46E6E"/>
    <w:rsid w:val="00E61FC1"/>
    <w:rsid w:val="00EA4E8D"/>
    <w:rsid w:val="00EB4AF2"/>
    <w:rsid w:val="00EC70F1"/>
    <w:rsid w:val="00F04A0E"/>
    <w:rsid w:val="00F246BE"/>
    <w:rsid w:val="00FC4C4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FC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1FC1"/>
    <w:pPr>
      <w:ind w:left="720"/>
      <w:contextualSpacing/>
    </w:pPr>
  </w:style>
  <w:style w:type="paragraph" w:styleId="Pieddepage">
    <w:name w:val="footer"/>
    <w:basedOn w:val="Normal"/>
    <w:link w:val="PieddepageCar"/>
    <w:uiPriority w:val="99"/>
    <w:unhideWhenUsed/>
    <w:rsid w:val="00E61F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1FC1"/>
  </w:style>
  <w:style w:type="paragraph" w:styleId="En-tte">
    <w:name w:val="header"/>
    <w:basedOn w:val="Normal"/>
    <w:link w:val="En-tteCar"/>
    <w:uiPriority w:val="99"/>
    <w:unhideWhenUsed/>
    <w:rsid w:val="00E61FC1"/>
    <w:pPr>
      <w:tabs>
        <w:tab w:val="center" w:pos="4536"/>
        <w:tab w:val="right" w:pos="9072"/>
      </w:tabs>
      <w:spacing w:after="0" w:line="240" w:lineRule="auto"/>
    </w:pPr>
  </w:style>
  <w:style w:type="character" w:customStyle="1" w:styleId="En-tteCar">
    <w:name w:val="En-tête Car"/>
    <w:basedOn w:val="Policepardfaut"/>
    <w:link w:val="En-tte"/>
    <w:uiPriority w:val="99"/>
    <w:rsid w:val="00E61FC1"/>
  </w:style>
  <w:style w:type="paragraph" w:styleId="Notedebasdepage">
    <w:name w:val="footnote text"/>
    <w:basedOn w:val="Normal"/>
    <w:link w:val="NotedebasdepageCar"/>
    <w:uiPriority w:val="99"/>
    <w:semiHidden/>
    <w:unhideWhenUsed/>
    <w:rsid w:val="00DF738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7387"/>
    <w:rPr>
      <w:sz w:val="20"/>
      <w:szCs w:val="20"/>
    </w:rPr>
  </w:style>
  <w:style w:type="character" w:styleId="Appelnotedebasdep">
    <w:name w:val="footnote reference"/>
    <w:basedOn w:val="Policepardfaut"/>
    <w:uiPriority w:val="99"/>
    <w:semiHidden/>
    <w:unhideWhenUsed/>
    <w:rsid w:val="00DF738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CF9D-2919-4CA3-8931-6313891D9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1569</Words>
  <Characters>8633</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2023-12-27T20:21:00Z</dcterms:created>
  <dcterms:modified xsi:type="dcterms:W3CDTF">2023-12-27T20:21:00Z</dcterms:modified>
</cp:coreProperties>
</file>