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72A9" w14:textId="77777777" w:rsidR="00644B75" w:rsidRDefault="00644B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</w:p>
    <w:p w14:paraId="05A6A82C" w14:textId="77777777" w:rsidR="00644B75" w:rsidRDefault="00644B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</w:p>
    <w:p w14:paraId="658E4D50" w14:textId="77777777" w:rsidR="00644B75" w:rsidRDefault="00644B7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1F38F225" w14:textId="77777777" w:rsidR="00644B75" w:rsidRDefault="007C055A">
      <w:pPr>
        <w:shd w:val="clear" w:color="auto" w:fill="FFFFFF"/>
        <w:spacing w:after="150" w:line="240" w:lineRule="auto"/>
        <w:jc w:val="center"/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TD N02</w:t>
      </w:r>
    </w:p>
    <w:p w14:paraId="66AE477C" w14:textId="77777777" w:rsidR="00644B75" w:rsidRDefault="007C055A">
      <w:pPr>
        <w:shd w:val="clear" w:color="auto" w:fill="FFFFFF"/>
        <w:spacing w:after="150" w:line="240" w:lineRule="auto"/>
        <w:jc w:val="center"/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 Gestion de la qualité et droit alimentaire</w:t>
      </w:r>
    </w:p>
    <w:p w14:paraId="46F95C47" w14:textId="77777777" w:rsidR="00644B75" w:rsidRDefault="00644B7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6755EFC6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eastAsia="fr-FR"/>
        </w:rPr>
      </w:pPr>
      <w:r>
        <w:rPr>
          <w:rFonts w:ascii="Times New Roman" w:eastAsia="Times New Roman" w:hAnsi="Times New Roman" w:cstheme="majorBidi"/>
          <w:b/>
          <w:bCs/>
          <w:color w:val="000000"/>
          <w:sz w:val="26"/>
          <w:szCs w:val="26"/>
          <w:lang w:eastAsia="fr-FR"/>
        </w:rPr>
        <w:t>Exercice 01 :</w:t>
      </w:r>
    </w:p>
    <w:p w14:paraId="66DC72EB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ab/>
        <w:t xml:space="preserve">Une entreprise souhaite vérifier la conformité de son système à un référentiel, autrement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dit:</w:t>
      </w:r>
      <w:proofErr w:type="gramEnd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de détecter les non conformités , analyser l’efficacité du système, identifier les 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points d’amélioration et capitaliser sur les points  forts.</w:t>
      </w:r>
    </w:p>
    <w:p w14:paraId="3231821B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1) L’entreprise doit faire appel à quel type d’examen ?</w:t>
      </w:r>
    </w:p>
    <w:p w14:paraId="30590C64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2) Quels sont les objectifs de cet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examen?</w:t>
      </w:r>
      <w:proofErr w:type="gramEnd"/>
    </w:p>
    <w:p w14:paraId="633D3636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3) Donner les outils de cet examen.</w:t>
      </w:r>
    </w:p>
    <w:p w14:paraId="3E55A64F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4) Quels sont les différents types de cet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examen?</w:t>
      </w:r>
      <w:proofErr w:type="gramEnd"/>
    </w:p>
    <w:p w14:paraId="76DA05BA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5) Qui sont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les personnes qui exercent cet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examen?</w:t>
      </w:r>
      <w:proofErr w:type="gramEnd"/>
    </w:p>
    <w:p w14:paraId="251AB964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0D46FEE2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ab/>
        <w:t xml:space="preserve">Cet examen </w:t>
      </w:r>
      <w:proofErr w:type="spell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à</w:t>
      </w:r>
      <w:proofErr w:type="spellEnd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pour mission de décortiquer le fonctionnement de l’entreprise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afin  de</w:t>
      </w:r>
      <w:proofErr w:type="gramEnd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 détecter les défauts et les risques susceptibles de mettre en cause le plan de marche fixé par le management.</w:t>
      </w:r>
    </w:p>
    <w:p w14:paraId="77ACD780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1) Comment est appel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é ce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plan?</w:t>
      </w:r>
      <w:proofErr w:type="gramEnd"/>
    </w:p>
    <w:p w14:paraId="3CD43A91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2) Quels sont les documents consultés lors de cet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examen</w:t>
      </w:r>
      <w:bookmarkStart w:id="0" w:name="__DdeLink__87_986901724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?</w:t>
      </w:r>
      <w:bookmarkEnd w:id="0"/>
      <w:proofErr w:type="gramEnd"/>
    </w:p>
    <w:p w14:paraId="34D7AA43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 xml:space="preserve">3) Donner la procédure de cet </w:t>
      </w:r>
      <w:proofErr w:type="gramStart"/>
      <w:r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  <w:t>examen .</w:t>
      </w:r>
      <w:proofErr w:type="gramEnd"/>
    </w:p>
    <w:p w14:paraId="50ABA128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63526D0C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6C2E4650" w14:textId="77777777" w:rsidR="00644B75" w:rsidRDefault="007C055A">
      <w:pPr>
        <w:shd w:val="clear" w:color="auto" w:fill="FFFFFF"/>
        <w:spacing w:after="150" w:line="240" w:lineRule="auto"/>
        <w:jc w:val="center"/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lastRenderedPageBreak/>
        <w:t>TD N02 (</w:t>
      </w:r>
      <w:proofErr w:type="spellStart"/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suite:Etude</w:t>
      </w:r>
      <w:proofErr w:type="spellEnd"/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 de cas)</w:t>
      </w:r>
    </w:p>
    <w:p w14:paraId="464C6CEA" w14:textId="77777777" w:rsidR="00644B75" w:rsidRDefault="007C055A">
      <w:pPr>
        <w:shd w:val="clear" w:color="auto" w:fill="FFFFFF"/>
        <w:spacing w:after="150" w:line="240" w:lineRule="auto"/>
        <w:jc w:val="center"/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 Gestion de la qualité et droit alimentaire</w:t>
      </w:r>
    </w:p>
    <w:p w14:paraId="7CFB1E9A" w14:textId="77777777" w:rsidR="00644B75" w:rsidRDefault="00644B7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000000"/>
          <w:sz w:val="26"/>
          <w:szCs w:val="26"/>
          <w:lang w:eastAsia="fr-FR"/>
        </w:rPr>
      </w:pPr>
    </w:p>
    <w:p w14:paraId="48D1F2BB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b/>
          <w:bCs/>
          <w:color w:val="000000"/>
          <w:sz w:val="28"/>
          <w:szCs w:val="28"/>
          <w:lang w:eastAsia="fr-FR"/>
        </w:rPr>
        <w:t xml:space="preserve">Exercice 02 : </w:t>
      </w:r>
    </w:p>
    <w:p w14:paraId="3959C248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ab/>
      </w: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Le diagramme Ishikawa se présente comme une illustration graphique en forme d’un </w:t>
      </w:r>
      <w:proofErr w:type="gram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poisson .La</w:t>
      </w:r>
      <w:proofErr w:type="gramEnd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 tête du poisson représente le problème ou l’effet proprement dit, et les différentes arêtes affichent chacune une catégorie de causes éventuellement à l’origine du</w:t>
      </w: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 problème à dissoudre ou effet à éliminer. </w:t>
      </w:r>
    </w:p>
    <w:p w14:paraId="437F0F89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1) Quelles sont les principales catégories de causes les plus </w:t>
      </w:r>
      <w:proofErr w:type="gram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utilisées</w:t>
      </w:r>
      <w:r>
        <w:rPr>
          <w:rFonts w:ascii="Times New Roman" w:eastAsia="Times New Roman" w:hAnsi="Times New Roman" w:cstheme="majorBidi"/>
          <w:color w:val="000000"/>
          <w:sz w:val="26"/>
          <w:szCs w:val="26"/>
          <w:lang w:eastAsia="fr-FR"/>
        </w:rPr>
        <w:t>?</w:t>
      </w:r>
      <w:proofErr w:type="gramEnd"/>
    </w:p>
    <w:p w14:paraId="7C83CA44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2) Quand peut-on utiliser le diagramme </w:t>
      </w:r>
      <w:proofErr w:type="gram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d’Ishikawa</w:t>
      </w:r>
      <w:r>
        <w:rPr>
          <w:rFonts w:ascii="Times New Roman" w:eastAsia="Times New Roman" w:hAnsi="Times New Roman" w:cstheme="majorBidi"/>
          <w:color w:val="000000"/>
          <w:sz w:val="26"/>
          <w:szCs w:val="26"/>
          <w:lang w:eastAsia="fr-FR"/>
        </w:rPr>
        <w:t>?</w:t>
      </w:r>
      <w:proofErr w:type="gramEnd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 </w:t>
      </w:r>
    </w:p>
    <w:p w14:paraId="66F38830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3) Pourquoi </w:t>
      </w:r>
      <w:proofErr w:type="spell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utilise t</w:t>
      </w:r>
      <w:proofErr w:type="spellEnd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-on ce </w:t>
      </w:r>
      <w:proofErr w:type="gram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diagramme</w:t>
      </w:r>
      <w:r>
        <w:rPr>
          <w:rFonts w:ascii="Times New Roman" w:eastAsia="Times New Roman" w:hAnsi="Times New Roman" w:cstheme="majorBidi"/>
          <w:color w:val="000000"/>
          <w:sz w:val="26"/>
          <w:szCs w:val="26"/>
          <w:lang w:eastAsia="fr-FR"/>
        </w:rPr>
        <w:t>?</w:t>
      </w:r>
      <w:proofErr w:type="gramEnd"/>
    </w:p>
    <w:p w14:paraId="27BC9273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4) </w:t>
      </w:r>
      <w:r>
        <w:rPr>
          <w:rFonts w:ascii="Times New Roman" w:eastAsia="Times New Roman" w:hAnsi="Times New Roman" w:cstheme="majorBidi"/>
          <w:b/>
          <w:bCs/>
          <w:color w:val="000000"/>
          <w:sz w:val="28"/>
          <w:szCs w:val="28"/>
          <w:lang w:eastAsia="fr-FR"/>
        </w:rPr>
        <w:t xml:space="preserve">Etude de cas </w:t>
      </w:r>
    </w:p>
    <w:p w14:paraId="084B06AB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ab/>
        <w:t>Une entreprise affiche un très</w:t>
      </w: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 mauvais ratio de satisfaction de sa clientèle et monte un projet dont l’objectif est l’amélioration de satisfaction à l’égard des prestations de cette entreprise.</w:t>
      </w:r>
    </w:p>
    <w:p w14:paraId="414B8D23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ab/>
        <w:t>Toutes les parties prenantes sont convoquées à un brainstorming.</w:t>
      </w:r>
    </w:p>
    <w:p w14:paraId="0A724857" w14:textId="77777777" w:rsidR="00644B75" w:rsidRDefault="007C055A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- Donner les étapes à suiv</w:t>
      </w:r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re pour mettre en place le diagramme </w:t>
      </w:r>
      <w:proofErr w:type="gramStart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>d’ Ishikawa</w:t>
      </w:r>
      <w:proofErr w:type="gramEnd"/>
      <w:r>
        <w:rPr>
          <w:rFonts w:ascii="Times New Roman" w:eastAsia="Times New Roman" w:hAnsi="Times New Roman" w:cstheme="majorBidi"/>
          <w:color w:val="000000"/>
          <w:sz w:val="28"/>
          <w:szCs w:val="28"/>
          <w:lang w:eastAsia="fr-FR"/>
        </w:rPr>
        <w:t xml:space="preserve">  dans ce cas étudié.</w:t>
      </w:r>
    </w:p>
    <w:p w14:paraId="5D4DF62A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14:paraId="12E98AD1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14:paraId="247F3A6F" w14:textId="77777777" w:rsidR="00644B75" w:rsidRDefault="00644B75">
      <w:pPr>
        <w:pStyle w:val="Paragraphedeliste"/>
        <w:shd w:val="clear" w:color="auto" w:fill="FFFFFF"/>
        <w:spacing w:after="150" w:line="48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14:paraId="3FF18B3E" w14:textId="77777777" w:rsidR="00644B75" w:rsidRDefault="007C055A">
      <w:pPr>
        <w:pStyle w:val="Paragraphedeliste"/>
        <w:shd w:val="clear" w:color="auto" w:fill="FFFFFF"/>
        <w:spacing w:after="150" w:line="48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theme="majorBidi"/>
          <w:b/>
          <w:bCs/>
          <w:color w:val="000000"/>
          <w:sz w:val="28"/>
          <w:szCs w:val="28"/>
          <w:lang w:eastAsia="fr-FR"/>
        </w:rPr>
        <w:lastRenderedPageBreak/>
        <w:t>Suite du TD 02</w:t>
      </w:r>
    </w:p>
    <w:p w14:paraId="307797FA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Les causes dénichées lors de la réunion de brainstorming sont :</w:t>
      </w:r>
    </w:p>
    <w:p w14:paraId="770E0C1D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Des problèmes de coupures de réseau informatique dans l’entreprise ;</w:t>
      </w:r>
    </w:p>
    <w:p w14:paraId="70F39A83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 xml:space="preserve">-Un temps d’attente trop long au </w:t>
      </w: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téléphone, car le nombre de personnels est insuffisant ;</w:t>
      </w:r>
    </w:p>
    <w:p w14:paraId="4C7B75AC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Un manque de procédures pour former les nouveaux arrivants ;</w:t>
      </w:r>
    </w:p>
    <w:p w14:paraId="375E187C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Un manque de lumière naturelle dans le call-center ;</w:t>
      </w:r>
    </w:p>
    <w:p w14:paraId="2FDE0E16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Le manager est souvent absent ;</w:t>
      </w:r>
    </w:p>
    <w:p w14:paraId="74CF2EF1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 xml:space="preserve">- Deux employés en dépression ; </w:t>
      </w:r>
    </w:p>
    <w:p w14:paraId="4B48C24B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une panne d’imprimante succédant à un gaspillage de papier ;</w:t>
      </w:r>
    </w:p>
    <w:p w14:paraId="4152A311" w14:textId="77777777" w:rsidR="00644B75" w:rsidRDefault="007C055A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theme="majorBidi"/>
          <w:color w:val="000000"/>
          <w:sz w:val="24"/>
          <w:szCs w:val="24"/>
          <w:lang w:eastAsia="fr-FR"/>
        </w:rPr>
        <w:t>- Coupure de serveur suite à un orage avec absence de serveur de secours.</w:t>
      </w:r>
    </w:p>
    <w:p w14:paraId="1A46ABA1" w14:textId="77777777" w:rsidR="00644B75" w:rsidRDefault="00644B75">
      <w:pPr>
        <w:pStyle w:val="Paragraphedeliste"/>
        <w:shd w:val="clear" w:color="auto" w:fill="FFFFFF"/>
        <w:spacing w:after="150" w:line="240" w:lineRule="auto"/>
        <w:ind w:left="737" w:hanging="737"/>
        <w:jc w:val="both"/>
        <w:rPr>
          <w:sz w:val="24"/>
          <w:szCs w:val="24"/>
        </w:rPr>
      </w:pPr>
    </w:p>
    <w:sectPr w:rsidR="00644B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9139" w14:textId="77777777" w:rsidR="007C055A" w:rsidRDefault="007C055A">
      <w:pPr>
        <w:spacing w:after="0" w:line="240" w:lineRule="auto"/>
      </w:pPr>
      <w:r>
        <w:separator/>
      </w:r>
    </w:p>
  </w:endnote>
  <w:endnote w:type="continuationSeparator" w:id="0">
    <w:p w14:paraId="150F91D9" w14:textId="77777777" w:rsidR="007C055A" w:rsidRDefault="007C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07E" w14:textId="77777777" w:rsidR="00644B75" w:rsidRDefault="007C055A">
    <w:pPr>
      <w:pStyle w:val="Pieddepage"/>
      <w:jc w:val="right"/>
    </w:pPr>
    <w:r>
      <w:t>Mme DEFLAOUI-ABDELFETTAH 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9CAD" w14:textId="77777777" w:rsidR="007C055A" w:rsidRDefault="007C055A">
      <w:pPr>
        <w:spacing w:after="0" w:line="240" w:lineRule="auto"/>
      </w:pPr>
      <w:r>
        <w:separator/>
      </w:r>
    </w:p>
  </w:footnote>
  <w:footnote w:type="continuationSeparator" w:id="0">
    <w:p w14:paraId="4692DDD3" w14:textId="77777777" w:rsidR="007C055A" w:rsidRDefault="007C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2056" w14:textId="77777777" w:rsidR="00644B75" w:rsidRDefault="007C055A">
    <w:pPr>
      <w:pStyle w:val="En-tte"/>
    </w:pPr>
    <w:r>
      <w:t xml:space="preserve">Université A/Mira de Bejaia                                        </w:t>
    </w:r>
    <w:r>
      <w:t xml:space="preserve">                                                  </w:t>
    </w:r>
    <w:proofErr w:type="spellStart"/>
    <w:r>
      <w:t>Bejaia</w:t>
    </w:r>
    <w:proofErr w:type="spellEnd"/>
    <w:r>
      <w:t>, Novembre 2023</w:t>
    </w:r>
  </w:p>
  <w:p w14:paraId="1D2149AD" w14:textId="77777777" w:rsidR="00644B75" w:rsidRDefault="007C055A">
    <w:pPr>
      <w:pStyle w:val="En-tte"/>
    </w:pPr>
    <w:r>
      <w:t>Département des Sciences Alimentaires</w:t>
    </w:r>
  </w:p>
  <w:p w14:paraId="211441CC" w14:textId="77777777" w:rsidR="00644B75" w:rsidRDefault="007C055A">
    <w:pPr>
      <w:pStyle w:val="En-tte"/>
    </w:pPr>
    <w:r>
      <w:t>Spécialité : MI CQAA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75"/>
    <w:rsid w:val="00644B75"/>
    <w:rsid w:val="007C055A"/>
    <w:rsid w:val="00E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580D"/>
  <w15:docId w15:val="{41EF2C02-0105-482A-912C-31EE0AF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FF0F8C"/>
  </w:style>
  <w:style w:type="character" w:customStyle="1" w:styleId="PieddepageCar">
    <w:name w:val="Pied de page Car"/>
    <w:basedOn w:val="Policepardfaut"/>
    <w:link w:val="Pieddepage"/>
    <w:uiPriority w:val="99"/>
    <w:qFormat/>
    <w:rsid w:val="00FF0F8C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-tte">
    <w:name w:val="header"/>
    <w:basedOn w:val="Normal"/>
    <w:uiPriority w:val="99"/>
    <w:unhideWhenUsed/>
    <w:rsid w:val="00FF0F8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F0F8C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8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dc:description/>
  <cp:lastModifiedBy>ELITE X2 G2</cp:lastModifiedBy>
  <cp:revision>2</cp:revision>
  <dcterms:created xsi:type="dcterms:W3CDTF">2024-04-16T11:52:00Z</dcterms:created>
  <dcterms:modified xsi:type="dcterms:W3CDTF">2024-04-16T11:52:00Z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