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88" w:rsidRPr="003A4689" w:rsidRDefault="00622ABF" w:rsidP="00F9683B">
      <w:pPr>
        <w:jc w:val="center"/>
        <w:rPr>
          <w:rFonts w:asciiTheme="majorBidi" w:hAnsiTheme="majorBidi" w:cstheme="majorBidi"/>
          <w:b/>
          <w:bCs/>
        </w:rPr>
      </w:pPr>
      <w:r w:rsidRPr="003A4689">
        <w:rPr>
          <w:rFonts w:asciiTheme="majorBidi" w:hAnsiTheme="majorBidi" w:cstheme="majorBidi"/>
          <w:b/>
          <w:bCs/>
        </w:rPr>
        <w:t>Travaux pratique de Bioprocédés, Fermenteurs</w:t>
      </w:r>
    </w:p>
    <w:p w:rsidR="00622ABF" w:rsidRDefault="00622ABF" w:rsidP="00F9683B"/>
    <w:p w:rsidR="00622ABF" w:rsidRDefault="00622ABF" w:rsidP="00F9683B">
      <w:pPr>
        <w:rPr>
          <w:rFonts w:asciiTheme="majorBidi" w:hAnsiTheme="majorBidi" w:cstheme="majorBidi"/>
        </w:rPr>
      </w:pPr>
      <w:r w:rsidRPr="00622ABF">
        <w:rPr>
          <w:rFonts w:asciiTheme="majorBidi" w:hAnsiTheme="majorBidi" w:cstheme="majorBidi"/>
          <w:b/>
          <w:bCs/>
        </w:rPr>
        <w:t>But </w:t>
      </w:r>
      <w:r w:rsidRPr="00622ABF">
        <w:rPr>
          <w:rFonts w:asciiTheme="majorBidi" w:hAnsiTheme="majorBidi" w:cstheme="majorBidi"/>
        </w:rPr>
        <w:t>: Suivi d’une production fermentaire, en déterminant les paramètres microbiologiques d’état (X</w:t>
      </w:r>
      <w:r w:rsidRPr="00622ABF">
        <w:rPr>
          <w:rFonts w:asciiTheme="majorBidi" w:hAnsiTheme="majorBidi" w:cstheme="majorBidi"/>
          <w:vertAlign w:val="subscript"/>
        </w:rPr>
        <w:t>i</w:t>
      </w:r>
      <w:r w:rsidRPr="00622ABF">
        <w:rPr>
          <w:rFonts w:asciiTheme="majorBidi" w:hAnsiTheme="majorBidi" w:cstheme="majorBidi"/>
        </w:rPr>
        <w:t>, S</w:t>
      </w:r>
      <w:r w:rsidRPr="00622ABF">
        <w:rPr>
          <w:rFonts w:asciiTheme="majorBidi" w:hAnsiTheme="majorBidi" w:cstheme="majorBidi"/>
          <w:vertAlign w:val="subscript"/>
        </w:rPr>
        <w:t>i</w:t>
      </w:r>
      <w:r w:rsidRPr="00622ABF">
        <w:rPr>
          <w:rFonts w:asciiTheme="majorBidi" w:hAnsiTheme="majorBidi" w:cstheme="majorBidi"/>
        </w:rPr>
        <w:t>,</w:t>
      </w:r>
      <w:r w:rsidR="00CB0B26">
        <w:rPr>
          <w:rFonts w:asciiTheme="majorBidi" w:hAnsiTheme="majorBidi" w:cstheme="majorBidi"/>
        </w:rPr>
        <w:t xml:space="preserve"> </w:t>
      </w:r>
      <w:r w:rsidRPr="00622ABF">
        <w:rPr>
          <w:rFonts w:asciiTheme="majorBidi" w:hAnsiTheme="majorBidi" w:cstheme="majorBidi"/>
        </w:rPr>
        <w:t>P</w:t>
      </w:r>
      <w:r w:rsidRPr="00622ABF">
        <w:rPr>
          <w:rFonts w:asciiTheme="majorBidi" w:hAnsiTheme="majorBidi" w:cstheme="majorBidi"/>
          <w:vertAlign w:val="subscript"/>
        </w:rPr>
        <w:t>i</w:t>
      </w:r>
      <w:r w:rsidR="00F9683B" w:rsidRPr="00622ABF">
        <w:rPr>
          <w:rFonts w:asciiTheme="majorBidi" w:hAnsiTheme="majorBidi" w:cstheme="majorBidi"/>
        </w:rPr>
        <w:t xml:space="preserve">). </w:t>
      </w:r>
      <w:r>
        <w:rPr>
          <w:rFonts w:asciiTheme="majorBidi" w:hAnsiTheme="majorBidi" w:cstheme="majorBidi"/>
        </w:rPr>
        <w:t xml:space="preserve">Pour </w:t>
      </w:r>
      <w:r w:rsidR="003A4689">
        <w:rPr>
          <w:rFonts w:asciiTheme="majorBidi" w:hAnsiTheme="majorBidi" w:cstheme="majorBidi"/>
        </w:rPr>
        <w:t>atteindre ce but,</w:t>
      </w:r>
      <w:r>
        <w:rPr>
          <w:rFonts w:asciiTheme="majorBidi" w:hAnsiTheme="majorBidi" w:cstheme="majorBidi"/>
        </w:rPr>
        <w:t xml:space="preserve"> une culture microbienne est réalisée </w:t>
      </w:r>
      <w:r w:rsidR="003A4689">
        <w:rPr>
          <w:rFonts w:asciiTheme="majorBidi" w:hAnsiTheme="majorBidi" w:cstheme="majorBidi"/>
        </w:rPr>
        <w:t>afin</w:t>
      </w:r>
      <w:r>
        <w:rPr>
          <w:rFonts w:asciiTheme="majorBidi" w:hAnsiTheme="majorBidi" w:cstheme="majorBidi"/>
        </w:rPr>
        <w:t xml:space="preserve"> de produire des amylases en utilisant un sous produit des industries Agro-alimentaire.</w:t>
      </w:r>
    </w:p>
    <w:p w:rsidR="00CB0B26" w:rsidRDefault="00622ABF" w:rsidP="00F9683B">
      <w:pPr>
        <w:rPr>
          <w:rFonts w:ascii="Times New Roman" w:hAnsi="Times New Roman"/>
          <w:b/>
          <w:bCs/>
          <w:color w:val="000000"/>
        </w:rPr>
      </w:pPr>
      <w:r w:rsidRPr="00622ABF">
        <w:rPr>
          <w:rFonts w:ascii="Times New Roman" w:hAnsi="Times New Roman"/>
          <w:b/>
          <w:bCs/>
          <w:color w:val="000000"/>
          <w:spacing w:val="-1"/>
        </w:rPr>
        <w:t>M</w:t>
      </w:r>
      <w:r w:rsidRPr="00622ABF">
        <w:rPr>
          <w:rFonts w:ascii="Times New Roman" w:hAnsi="Times New Roman"/>
          <w:b/>
          <w:bCs/>
          <w:color w:val="000000"/>
          <w:spacing w:val="1"/>
        </w:rPr>
        <w:t>a</w:t>
      </w:r>
      <w:r w:rsidRPr="00622ABF">
        <w:rPr>
          <w:rFonts w:ascii="Times New Roman" w:hAnsi="Times New Roman"/>
          <w:b/>
          <w:bCs/>
          <w:color w:val="000000"/>
        </w:rPr>
        <w:t>té</w:t>
      </w:r>
      <w:r w:rsidRPr="00622ABF">
        <w:rPr>
          <w:rFonts w:ascii="Times New Roman" w:hAnsi="Times New Roman"/>
          <w:b/>
          <w:bCs/>
          <w:color w:val="000000"/>
          <w:spacing w:val="-2"/>
        </w:rPr>
        <w:t>r</w:t>
      </w:r>
      <w:r w:rsidRPr="00622ABF">
        <w:rPr>
          <w:rFonts w:ascii="Times New Roman" w:hAnsi="Times New Roman"/>
          <w:b/>
          <w:bCs/>
          <w:color w:val="000000"/>
          <w:spacing w:val="1"/>
        </w:rPr>
        <w:t>i</w:t>
      </w:r>
      <w:r w:rsidRPr="00622ABF">
        <w:rPr>
          <w:rFonts w:ascii="Times New Roman" w:hAnsi="Times New Roman"/>
          <w:b/>
          <w:bCs/>
          <w:color w:val="000000"/>
          <w:spacing w:val="-2"/>
        </w:rPr>
        <w:t>e</w:t>
      </w:r>
      <w:r w:rsidRPr="00622ABF">
        <w:rPr>
          <w:rFonts w:ascii="Times New Roman" w:hAnsi="Times New Roman"/>
          <w:b/>
          <w:bCs/>
          <w:color w:val="000000"/>
        </w:rPr>
        <w:t>l</w:t>
      </w:r>
      <w:r w:rsidRPr="00622ABF">
        <w:rPr>
          <w:rFonts w:ascii="Times New Roman" w:hAnsi="Times New Roman"/>
          <w:b/>
          <w:bCs/>
          <w:color w:val="000000"/>
          <w:spacing w:val="1"/>
        </w:rPr>
        <w:t xml:space="preserve"> </w:t>
      </w:r>
      <w:r w:rsidRPr="00622ABF">
        <w:rPr>
          <w:rFonts w:ascii="Times New Roman" w:hAnsi="Times New Roman"/>
          <w:b/>
          <w:bCs/>
          <w:color w:val="000000"/>
          <w:spacing w:val="-2"/>
        </w:rPr>
        <w:t>v</w:t>
      </w:r>
      <w:r w:rsidRPr="00622ABF">
        <w:rPr>
          <w:rFonts w:ascii="Times New Roman" w:hAnsi="Times New Roman"/>
          <w:b/>
          <w:bCs/>
          <w:color w:val="000000"/>
        </w:rPr>
        <w:t>é</w:t>
      </w:r>
      <w:r w:rsidRPr="00622ABF">
        <w:rPr>
          <w:rFonts w:ascii="Times New Roman" w:hAnsi="Times New Roman"/>
          <w:b/>
          <w:bCs/>
          <w:color w:val="000000"/>
          <w:spacing w:val="1"/>
        </w:rPr>
        <w:t>g</w:t>
      </w:r>
      <w:r w:rsidRPr="00622ABF">
        <w:rPr>
          <w:rFonts w:ascii="Times New Roman" w:hAnsi="Times New Roman"/>
          <w:b/>
          <w:bCs/>
          <w:color w:val="000000"/>
          <w:spacing w:val="-2"/>
        </w:rPr>
        <w:t>é</w:t>
      </w:r>
      <w:r w:rsidRPr="00622ABF">
        <w:rPr>
          <w:rFonts w:ascii="Times New Roman" w:hAnsi="Times New Roman"/>
          <w:b/>
          <w:bCs/>
          <w:color w:val="000000"/>
        </w:rPr>
        <w:t>t</w:t>
      </w:r>
      <w:r w:rsidRPr="00622ABF">
        <w:rPr>
          <w:rFonts w:ascii="Times New Roman" w:hAnsi="Times New Roman"/>
          <w:b/>
          <w:bCs/>
          <w:color w:val="000000"/>
          <w:spacing w:val="-1"/>
        </w:rPr>
        <w:t>a</w:t>
      </w:r>
      <w:r w:rsidRPr="00622ABF">
        <w:rPr>
          <w:rFonts w:ascii="Times New Roman" w:hAnsi="Times New Roman"/>
          <w:b/>
          <w:bCs/>
          <w:color w:val="000000"/>
        </w:rPr>
        <w:t>l</w:t>
      </w:r>
    </w:p>
    <w:p w:rsidR="00CB0B26" w:rsidRDefault="00CB0B26" w:rsidP="00F9683B">
      <w:pPr>
        <w:rPr>
          <w:rFonts w:asciiTheme="majorBidi" w:hAnsiTheme="majorBidi" w:cstheme="majorBidi"/>
        </w:rPr>
      </w:pP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rFonts w:ascii="Times New Roman" w:hAnsi="Times New Roman"/>
          <w:color w:val="202020"/>
          <w:spacing w:val="-5"/>
        </w:rPr>
        <w:tab/>
      </w:r>
      <w:r>
        <w:rPr>
          <w:color w:val="202020"/>
          <w:spacing w:val="-5"/>
        </w:rPr>
        <w:tab/>
      </w:r>
      <w:r>
        <w:rPr>
          <w:color w:val="202020"/>
          <w:spacing w:val="-5"/>
        </w:rPr>
        <w:tab/>
      </w:r>
      <w:r>
        <w:rPr>
          <w:color w:val="202020"/>
          <w:spacing w:val="-5"/>
        </w:rPr>
        <w:tab/>
      </w:r>
      <w:r>
        <w:rPr>
          <w:color w:val="202020"/>
          <w:spacing w:val="-5"/>
        </w:rPr>
        <w:tab/>
      </w:r>
      <w:r>
        <w:rPr>
          <w:color w:val="202020"/>
          <w:spacing w:val="-5"/>
        </w:rPr>
        <w:tab/>
      </w:r>
      <w:r w:rsidRPr="00CB0B26">
        <w:rPr>
          <w:rFonts w:asciiTheme="majorBidi" w:hAnsiTheme="majorBidi" w:cstheme="majorBidi"/>
        </w:rPr>
        <w:t>Le sous-produit agricole (épluchures de pomme de terre) est choisi comme matériel végétatif à raison de son faible coût et sa disponibilité. Les épluchures de pomme récoltées, nettoyées de tout résidu de terre, sont séchées dans une étuve à 40 °C puis broyées et tamisées pour obtenir une poudre qui sera utilisée comme milieu de base de la fermentation pour la production de l’amylase.</w:t>
      </w:r>
    </w:p>
    <w:p w:rsidR="00887797" w:rsidRPr="00CB0B26" w:rsidRDefault="00887797" w:rsidP="00F9683B">
      <w:pPr>
        <w:rPr>
          <w:rFonts w:asciiTheme="majorBidi" w:hAnsiTheme="majorBidi" w:cstheme="majorBidi"/>
        </w:rPr>
      </w:pPr>
    </w:p>
    <w:p w:rsidR="00622ABF" w:rsidRPr="00622ABF" w:rsidRDefault="00CB0B26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25454F">
        <w:rPr>
          <w:rFonts w:asciiTheme="majorBidi" w:hAnsiTheme="majorBidi" w:cstheme="majorBidi"/>
          <w:b/>
          <w:bCs/>
        </w:rPr>
        <w:t xml:space="preserve">Matériel microbien </w:t>
      </w:r>
      <w:r w:rsidR="003A4689">
        <w:rPr>
          <w:rFonts w:asciiTheme="majorBidi" w:hAnsiTheme="majorBidi" w:cstheme="majorBidi"/>
          <w:b/>
          <w:bCs/>
        </w:rPr>
        <w:t>(souche</w:t>
      </w:r>
      <w:r w:rsidR="0025454F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25454F">
        <w:rPr>
          <w:rFonts w:asciiTheme="majorBidi" w:hAnsiTheme="majorBidi" w:cstheme="majorBidi"/>
          <w:b/>
          <w:bCs/>
        </w:rPr>
        <w:t>amylolitique</w:t>
      </w:r>
      <w:proofErr w:type="spellEnd"/>
      <w:r w:rsidR="0025454F">
        <w:rPr>
          <w:rFonts w:asciiTheme="majorBidi" w:hAnsiTheme="majorBidi" w:cstheme="majorBidi"/>
          <w:b/>
          <w:bCs/>
        </w:rPr>
        <w:t>)</w:t>
      </w:r>
    </w:p>
    <w:p w:rsidR="00622ABF" w:rsidRPr="00622ABF" w:rsidRDefault="00622ABF" w:rsidP="00F9683B">
      <w:pPr>
        <w:rPr>
          <w:rFonts w:asciiTheme="majorBidi" w:hAnsiTheme="majorBidi" w:cstheme="majorBidi"/>
        </w:rPr>
      </w:pPr>
    </w:p>
    <w:p w:rsidR="00580DD4" w:rsidRDefault="003A4689" w:rsidP="00F9683B">
      <w:pPr>
        <w:rPr>
          <w:rFonts w:asciiTheme="majorBidi" w:eastAsia="Calibri" w:hAnsiTheme="majorBidi" w:cstheme="majorBidi"/>
        </w:rPr>
      </w:pPr>
      <w:r>
        <w:rPr>
          <w:rFonts w:asciiTheme="majorBidi" w:hAnsiTheme="majorBidi" w:cstheme="majorBidi"/>
        </w:rPr>
        <w:tab/>
      </w:r>
      <w:r w:rsidR="00F212B3">
        <w:rPr>
          <w:rFonts w:asciiTheme="majorBidi" w:hAnsiTheme="majorBidi" w:cstheme="majorBidi"/>
        </w:rPr>
        <w:t xml:space="preserve">La levure boulangère </w:t>
      </w:r>
      <w:r w:rsidR="00F212B3" w:rsidRPr="00F212B3">
        <w:rPr>
          <w:rFonts w:asciiTheme="majorBidi" w:hAnsiTheme="majorBidi" w:cstheme="majorBidi"/>
          <w:i/>
          <w:iCs/>
        </w:rPr>
        <w:t>Saccharomyces Cerevisiae</w:t>
      </w:r>
      <w:r w:rsidR="00F212B3">
        <w:rPr>
          <w:rFonts w:asciiTheme="majorBidi" w:hAnsiTheme="majorBidi" w:cstheme="majorBidi"/>
        </w:rPr>
        <w:t xml:space="preserve"> </w:t>
      </w:r>
      <w:r w:rsidR="00622ABF" w:rsidRPr="00622ABF">
        <w:rPr>
          <w:rFonts w:asciiTheme="majorBidi" w:hAnsiTheme="majorBidi" w:cstheme="majorBidi"/>
        </w:rPr>
        <w:t xml:space="preserve"> </w:t>
      </w:r>
      <w:r w:rsidR="00F212B3" w:rsidRPr="00622ABF">
        <w:rPr>
          <w:rFonts w:asciiTheme="majorBidi" w:hAnsiTheme="majorBidi" w:cstheme="majorBidi"/>
        </w:rPr>
        <w:t>représente</w:t>
      </w:r>
      <w:r w:rsidR="00622ABF" w:rsidRPr="00622ABF">
        <w:rPr>
          <w:rFonts w:asciiTheme="majorBidi" w:hAnsiTheme="majorBidi" w:cstheme="majorBidi"/>
        </w:rPr>
        <w:t xml:space="preserve"> le microorganisme de </w:t>
      </w:r>
      <w:r w:rsidR="00F212B3" w:rsidRPr="00622ABF">
        <w:rPr>
          <w:rFonts w:asciiTheme="majorBidi" w:hAnsiTheme="majorBidi" w:cstheme="majorBidi"/>
        </w:rPr>
        <w:t xml:space="preserve">ce </w:t>
      </w:r>
      <w:r w:rsidR="00F212B3">
        <w:rPr>
          <w:rFonts w:asciiTheme="majorBidi" w:hAnsiTheme="majorBidi" w:cstheme="majorBidi"/>
        </w:rPr>
        <w:t>travail pratique.</w:t>
      </w:r>
      <w:r w:rsidR="00580DD4" w:rsidRPr="00302614">
        <w:rPr>
          <w:rFonts w:asciiTheme="majorBidi" w:eastAsia="Calibri" w:hAnsiTheme="majorBidi" w:cstheme="majorBidi"/>
        </w:rPr>
        <w:t xml:space="preserve">     </w:t>
      </w:r>
    </w:p>
    <w:p w:rsidR="00580DD4" w:rsidRDefault="00580DD4" w:rsidP="00F9683B">
      <w:pPr>
        <w:rPr>
          <w:rFonts w:asciiTheme="majorBidi" w:eastAsia="Calibri" w:hAnsiTheme="majorBidi" w:cstheme="majorBidi"/>
        </w:rPr>
      </w:pPr>
      <w:r w:rsidRPr="00302614">
        <w:rPr>
          <w:rFonts w:asciiTheme="majorBidi" w:eastAsia="Calibri" w:hAnsiTheme="majorBidi" w:cstheme="majorBidi"/>
        </w:rPr>
        <w:t xml:space="preserve">Une pré-culture est préparée avant d’ensemencer le milieu fermentaire, et ceci en solubilisant </w:t>
      </w:r>
      <w:r w:rsidRPr="00580DD4">
        <w:rPr>
          <w:rFonts w:asciiTheme="majorBidi" w:eastAsia="Calibri" w:hAnsiTheme="majorBidi" w:cstheme="majorBidi"/>
          <w:b/>
          <w:bCs/>
        </w:rPr>
        <w:t>1g</w:t>
      </w:r>
      <w:r w:rsidRPr="00302614">
        <w:rPr>
          <w:rFonts w:asciiTheme="majorBidi" w:eastAsia="Calibri" w:hAnsiTheme="majorBidi" w:cstheme="majorBidi"/>
        </w:rPr>
        <w:t xml:space="preserve"> de cette souche lyophilisé dans </w:t>
      </w:r>
      <w:r w:rsidRPr="00580DD4">
        <w:rPr>
          <w:rFonts w:asciiTheme="majorBidi" w:eastAsia="Calibri" w:hAnsiTheme="majorBidi" w:cstheme="majorBidi"/>
          <w:b/>
          <w:bCs/>
        </w:rPr>
        <w:t>50 ml</w:t>
      </w:r>
      <w:r w:rsidRPr="00302614">
        <w:rPr>
          <w:rFonts w:asciiTheme="majorBidi" w:eastAsia="Calibri" w:hAnsiTheme="majorBidi" w:cstheme="majorBidi"/>
        </w:rPr>
        <w:t xml:space="preserve"> de bouillon nutritif, sous des conditions stériles, et l’ensemble est incubé à 30°C pendant 18 heures. Après un temps de </w:t>
      </w:r>
      <w:r w:rsidRPr="00580DD4">
        <w:rPr>
          <w:rFonts w:asciiTheme="majorBidi" w:eastAsia="Calibri" w:hAnsiTheme="majorBidi" w:cstheme="majorBidi"/>
          <w:b/>
          <w:bCs/>
        </w:rPr>
        <w:t>18</w:t>
      </w:r>
      <w:r w:rsidRPr="00302614">
        <w:rPr>
          <w:rFonts w:asciiTheme="majorBidi" w:eastAsia="Calibri" w:hAnsiTheme="majorBidi" w:cstheme="majorBidi"/>
        </w:rPr>
        <w:t xml:space="preserve"> heures d’incubation, un examen microscopique suivi d’un dénombrement sur c</w:t>
      </w:r>
      <w:r>
        <w:rPr>
          <w:rFonts w:asciiTheme="majorBidi" w:eastAsia="Calibri" w:hAnsiTheme="majorBidi" w:cstheme="majorBidi"/>
        </w:rPr>
        <w:t>ellule Malassez sont effectués, pour l’obtention d’un inoculum de 10</w:t>
      </w:r>
      <w:r w:rsidRPr="00580DD4">
        <w:rPr>
          <w:rFonts w:asciiTheme="majorBidi" w:eastAsia="Calibri" w:hAnsiTheme="majorBidi" w:cstheme="majorBidi"/>
          <w:vertAlign w:val="superscript"/>
        </w:rPr>
        <w:t>5</w:t>
      </w:r>
      <w:r>
        <w:rPr>
          <w:rFonts w:asciiTheme="majorBidi" w:eastAsia="Calibri" w:hAnsiTheme="majorBidi" w:cstheme="majorBidi"/>
        </w:rPr>
        <w:t xml:space="preserve"> levures par millilitre.</w:t>
      </w:r>
    </w:p>
    <w:p w:rsidR="00580DD4" w:rsidRPr="00580DD4" w:rsidRDefault="00580DD4" w:rsidP="00F9683B">
      <w:pPr>
        <w:rPr>
          <w:rFonts w:asciiTheme="majorBidi" w:eastAsia="Calibri" w:hAnsiTheme="majorBidi" w:cstheme="majorBidi"/>
        </w:rPr>
      </w:pPr>
      <w:r w:rsidRPr="00887797">
        <w:rPr>
          <w:rFonts w:asciiTheme="majorBidi" w:eastAsia="Calibri" w:hAnsiTheme="majorBidi" w:cstheme="majorBidi"/>
          <w:b/>
          <w:bCs/>
        </w:rPr>
        <w:t>Mise en évidence</w:t>
      </w:r>
      <w:r w:rsidR="00887797">
        <w:rPr>
          <w:rFonts w:asciiTheme="majorBidi" w:eastAsia="Calibri" w:hAnsiTheme="majorBidi" w:cstheme="majorBidi"/>
          <w:b/>
          <w:bCs/>
        </w:rPr>
        <w:t xml:space="preserve"> de la capacité amylolytique de la souche utilisée</w:t>
      </w:r>
      <w:r>
        <w:rPr>
          <w:rFonts w:asciiTheme="majorBidi" w:eastAsia="Calibri" w:hAnsiTheme="majorBidi" w:cstheme="majorBidi"/>
        </w:rPr>
        <w:t>.</w:t>
      </w:r>
    </w:p>
    <w:p w:rsidR="00622ABF" w:rsidRPr="00622ABF" w:rsidRDefault="003A4689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622ABF" w:rsidRPr="00622ABF">
        <w:rPr>
          <w:rFonts w:asciiTheme="majorBidi" w:hAnsiTheme="majorBidi" w:cstheme="majorBidi"/>
        </w:rPr>
        <w:t>Les  souches  développées  sont  repiquées  aseptiquement  sur  le  milieu  gélose  d’amidon</w:t>
      </w:r>
    </w:p>
    <w:p w:rsidR="00622ABF" w:rsidRPr="00622ABF" w:rsidRDefault="00622ABF" w:rsidP="00F9683B">
      <w:pPr>
        <w:rPr>
          <w:rFonts w:asciiTheme="majorBidi" w:hAnsiTheme="majorBidi" w:cstheme="majorBidi"/>
        </w:rPr>
      </w:pPr>
      <w:r w:rsidRPr="00622ABF">
        <w:rPr>
          <w:rFonts w:asciiTheme="majorBidi" w:hAnsiTheme="majorBidi" w:cstheme="majorBidi"/>
        </w:rPr>
        <w:t xml:space="preserve">incubées à 37°C pendant 24h jusqu'à l’obtention des souches pures </w:t>
      </w:r>
      <w:r w:rsidRPr="00622ABF">
        <w:rPr>
          <w:rFonts w:asciiTheme="majorBidi" w:hAnsiTheme="majorBidi" w:cstheme="majorBidi"/>
          <w:b/>
          <w:bCs/>
        </w:rPr>
        <w:t>(</w:t>
      </w:r>
      <w:proofErr w:type="spellStart"/>
      <w:r w:rsidRPr="00622ABF">
        <w:rPr>
          <w:rFonts w:asciiTheme="majorBidi" w:hAnsiTheme="majorBidi" w:cstheme="majorBidi"/>
          <w:b/>
          <w:bCs/>
        </w:rPr>
        <w:t>Abd</w:t>
      </w:r>
      <w:proofErr w:type="spellEnd"/>
      <w:r w:rsidRPr="00622ABF">
        <w:rPr>
          <w:rFonts w:asciiTheme="majorBidi" w:hAnsiTheme="majorBidi" w:cstheme="majorBidi"/>
          <w:b/>
          <w:bCs/>
        </w:rPr>
        <w:t>-</w:t>
      </w:r>
      <w:proofErr w:type="spellStart"/>
      <w:r w:rsidRPr="00622ABF">
        <w:rPr>
          <w:rFonts w:asciiTheme="majorBidi" w:hAnsiTheme="majorBidi" w:cstheme="majorBidi"/>
          <w:b/>
          <w:bCs/>
        </w:rPr>
        <w:t>elhalem</w:t>
      </w:r>
      <w:proofErr w:type="spellEnd"/>
      <w:r w:rsidRPr="00622ABF">
        <w:rPr>
          <w:rFonts w:asciiTheme="majorBidi" w:hAnsiTheme="majorBidi" w:cstheme="majorBidi"/>
          <w:b/>
          <w:bCs/>
        </w:rPr>
        <w:t xml:space="preserve"> </w:t>
      </w:r>
      <w:r w:rsidRPr="00622ABF">
        <w:rPr>
          <w:rFonts w:asciiTheme="majorBidi" w:hAnsiTheme="majorBidi" w:cstheme="majorBidi"/>
          <w:b/>
          <w:bCs/>
          <w:i/>
          <w:iCs/>
        </w:rPr>
        <w:t xml:space="preserve">et </w:t>
      </w:r>
      <w:proofErr w:type="gramStart"/>
      <w:r w:rsidRPr="00622ABF">
        <w:rPr>
          <w:rFonts w:asciiTheme="majorBidi" w:hAnsiTheme="majorBidi" w:cstheme="majorBidi"/>
          <w:b/>
          <w:bCs/>
          <w:i/>
          <w:iCs/>
        </w:rPr>
        <w:t>al.,</w:t>
      </w:r>
      <w:proofErr w:type="gramEnd"/>
      <w:r w:rsidRPr="00622ABF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622ABF">
        <w:rPr>
          <w:rFonts w:asciiTheme="majorBidi" w:hAnsiTheme="majorBidi" w:cstheme="majorBidi"/>
          <w:b/>
          <w:bCs/>
        </w:rPr>
        <w:t>2015</w:t>
      </w:r>
      <w:r w:rsidRPr="00622ABF">
        <w:rPr>
          <w:rFonts w:asciiTheme="majorBidi" w:hAnsiTheme="majorBidi" w:cstheme="majorBidi"/>
          <w:b/>
          <w:bCs/>
          <w:i/>
          <w:iCs/>
        </w:rPr>
        <w:t>).</w:t>
      </w:r>
    </w:p>
    <w:p w:rsidR="00622ABF" w:rsidRDefault="00622ABF" w:rsidP="00F9683B">
      <w:pPr>
        <w:rPr>
          <w:rFonts w:asciiTheme="majorBidi" w:hAnsiTheme="majorBidi" w:cstheme="majorBidi"/>
          <w:b/>
          <w:bCs/>
        </w:rPr>
      </w:pPr>
      <w:r w:rsidRPr="00622ABF">
        <w:rPr>
          <w:rFonts w:asciiTheme="majorBidi" w:hAnsiTheme="majorBidi" w:cstheme="majorBidi"/>
        </w:rPr>
        <w:t xml:space="preserve">Les souches sont repiquées  aseptiquement par la technique de spots  sur le milieu gélose à l’amidon pH=7. Après incubation à 37°C/48h les boites sont inondées avec une solution de </w:t>
      </w:r>
      <w:proofErr w:type="spellStart"/>
      <w:r w:rsidR="00887797">
        <w:rPr>
          <w:rFonts w:asciiTheme="majorBidi" w:hAnsiTheme="majorBidi" w:cstheme="majorBidi"/>
          <w:b/>
          <w:bCs/>
        </w:rPr>
        <w:t>L</w:t>
      </w:r>
      <w:r w:rsidRPr="00887797">
        <w:rPr>
          <w:rFonts w:asciiTheme="majorBidi" w:hAnsiTheme="majorBidi" w:cstheme="majorBidi"/>
          <w:b/>
          <w:bCs/>
        </w:rPr>
        <w:t>ugol</w:t>
      </w:r>
      <w:proofErr w:type="spellEnd"/>
      <w:r w:rsidRPr="00622ABF">
        <w:rPr>
          <w:rFonts w:asciiTheme="majorBidi" w:hAnsiTheme="majorBidi" w:cstheme="majorBidi"/>
        </w:rPr>
        <w:t>, afin de mettre en</w:t>
      </w:r>
      <w:r w:rsidR="00887797">
        <w:rPr>
          <w:rFonts w:asciiTheme="majorBidi" w:hAnsiTheme="majorBidi" w:cstheme="majorBidi"/>
        </w:rPr>
        <w:t xml:space="preserve"> évidence l’activité amylasique :</w:t>
      </w:r>
      <w:r w:rsidRPr="00622ABF">
        <w:rPr>
          <w:rFonts w:asciiTheme="majorBidi" w:hAnsiTheme="majorBidi" w:cstheme="majorBidi"/>
        </w:rPr>
        <w:t xml:space="preserve"> les souches à halo claire sur le pourtour sont considérées comme productrices d’amylases</w:t>
      </w:r>
      <w:r w:rsidR="00887797">
        <w:rPr>
          <w:rFonts w:asciiTheme="majorBidi" w:hAnsiTheme="majorBidi" w:cstheme="majorBidi"/>
        </w:rPr>
        <w:t xml:space="preserve"> </w:t>
      </w:r>
      <w:r w:rsidRPr="00622ABF">
        <w:rPr>
          <w:rFonts w:asciiTheme="majorBidi" w:hAnsiTheme="majorBidi" w:cstheme="majorBidi"/>
          <w:b/>
          <w:bCs/>
        </w:rPr>
        <w:t>(</w:t>
      </w:r>
      <w:proofErr w:type="spellStart"/>
      <w:r w:rsidRPr="00622ABF">
        <w:rPr>
          <w:rFonts w:asciiTheme="majorBidi" w:hAnsiTheme="majorBidi" w:cstheme="majorBidi"/>
          <w:b/>
          <w:bCs/>
        </w:rPr>
        <w:t>Fossi</w:t>
      </w:r>
      <w:proofErr w:type="spellEnd"/>
      <w:r w:rsidRPr="00622ABF">
        <w:rPr>
          <w:rFonts w:asciiTheme="majorBidi" w:hAnsiTheme="majorBidi" w:cstheme="majorBidi"/>
          <w:b/>
          <w:bCs/>
        </w:rPr>
        <w:t xml:space="preserve"> </w:t>
      </w:r>
      <w:r w:rsidRPr="00622ABF">
        <w:rPr>
          <w:rFonts w:asciiTheme="majorBidi" w:hAnsiTheme="majorBidi" w:cstheme="majorBidi"/>
          <w:b/>
          <w:bCs/>
          <w:i/>
          <w:iCs/>
        </w:rPr>
        <w:t xml:space="preserve">et </w:t>
      </w:r>
      <w:proofErr w:type="gramStart"/>
      <w:r w:rsidRPr="00622ABF">
        <w:rPr>
          <w:rFonts w:asciiTheme="majorBidi" w:hAnsiTheme="majorBidi" w:cstheme="majorBidi"/>
          <w:b/>
          <w:bCs/>
          <w:i/>
          <w:iCs/>
        </w:rPr>
        <w:t>al</w:t>
      </w:r>
      <w:r w:rsidRPr="00622ABF">
        <w:rPr>
          <w:rFonts w:asciiTheme="majorBidi" w:hAnsiTheme="majorBidi" w:cstheme="majorBidi"/>
          <w:b/>
          <w:bCs/>
        </w:rPr>
        <w:t>.,</w:t>
      </w:r>
      <w:proofErr w:type="gramEnd"/>
      <w:r w:rsidRPr="00622ABF">
        <w:rPr>
          <w:rFonts w:asciiTheme="majorBidi" w:hAnsiTheme="majorBidi" w:cstheme="majorBidi"/>
          <w:b/>
          <w:bCs/>
        </w:rPr>
        <w:t xml:space="preserve"> 2005).</w:t>
      </w:r>
    </w:p>
    <w:p w:rsidR="0025454F" w:rsidRDefault="0025454F" w:rsidP="00F9683B">
      <w:pPr>
        <w:rPr>
          <w:rFonts w:asciiTheme="majorBidi" w:hAnsiTheme="majorBidi" w:cstheme="majorBidi"/>
          <w:b/>
          <w:bCs/>
        </w:rPr>
      </w:pPr>
    </w:p>
    <w:p w:rsidR="0025454F" w:rsidRPr="0025454F" w:rsidRDefault="003A4689" w:rsidP="00F9683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Déroulement et suivi de la fermentation</w:t>
      </w:r>
    </w:p>
    <w:p w:rsidR="005055E9" w:rsidRDefault="003A4689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ab/>
      </w:r>
      <w:r w:rsidR="0025454F" w:rsidRPr="003A4689">
        <w:rPr>
          <w:rFonts w:asciiTheme="majorBidi" w:hAnsiTheme="majorBidi" w:cstheme="majorBidi"/>
        </w:rPr>
        <w:t xml:space="preserve"> </w:t>
      </w:r>
      <w:r w:rsidR="00887797">
        <w:rPr>
          <w:rFonts w:asciiTheme="majorBidi" w:hAnsiTheme="majorBidi" w:cstheme="majorBidi"/>
        </w:rPr>
        <w:tab/>
        <w:t xml:space="preserve">         </w:t>
      </w:r>
      <w:r w:rsidR="005055E9">
        <w:rPr>
          <w:rFonts w:asciiTheme="majorBidi" w:hAnsiTheme="majorBidi" w:cstheme="majorBidi"/>
        </w:rPr>
        <w:t>La poudre d’épluchure de pomme de terre qui représente le milieu de base pour la</w:t>
      </w:r>
      <w:r w:rsidR="005055E9" w:rsidRPr="003A4689">
        <w:rPr>
          <w:rFonts w:asciiTheme="majorBidi" w:hAnsiTheme="majorBidi" w:cstheme="majorBidi"/>
        </w:rPr>
        <w:t xml:space="preserve"> production de l’amylase par la souche </w:t>
      </w:r>
      <w:r w:rsidR="00887797">
        <w:rPr>
          <w:rFonts w:asciiTheme="majorBidi" w:hAnsiTheme="majorBidi" w:cstheme="majorBidi"/>
        </w:rPr>
        <w:t>étudiée</w:t>
      </w:r>
      <w:r w:rsidR="005055E9" w:rsidRPr="003A4689">
        <w:rPr>
          <w:rFonts w:asciiTheme="majorBidi" w:hAnsiTheme="majorBidi" w:cstheme="majorBidi"/>
        </w:rPr>
        <w:t xml:space="preserve"> </w:t>
      </w:r>
      <w:r w:rsidR="005055E9">
        <w:rPr>
          <w:rFonts w:asciiTheme="majorBidi" w:hAnsiTheme="majorBidi" w:cstheme="majorBidi"/>
        </w:rPr>
        <w:t xml:space="preserve">est additionnée de  </w:t>
      </w:r>
      <w:r w:rsidR="005055E9" w:rsidRPr="005055E9">
        <w:rPr>
          <w:rFonts w:asciiTheme="majorBidi" w:hAnsiTheme="majorBidi" w:cstheme="majorBidi"/>
          <w:b/>
          <w:bCs/>
        </w:rPr>
        <w:t>0.2</w:t>
      </w:r>
      <w:r w:rsidR="005055E9">
        <w:rPr>
          <w:rFonts w:asciiTheme="majorBidi" w:hAnsiTheme="majorBidi" w:cstheme="majorBidi"/>
          <w:b/>
          <w:bCs/>
        </w:rPr>
        <w:t xml:space="preserve"> (%)</w:t>
      </w:r>
      <w:r w:rsidR="005055E9">
        <w:rPr>
          <w:rFonts w:asciiTheme="majorBidi" w:hAnsiTheme="majorBidi" w:cstheme="majorBidi"/>
        </w:rPr>
        <w:t xml:space="preserve"> </w:t>
      </w:r>
      <w:r w:rsidR="005055E9" w:rsidRPr="003A4689">
        <w:rPr>
          <w:rFonts w:asciiTheme="majorBidi" w:hAnsiTheme="majorBidi" w:cstheme="majorBidi"/>
        </w:rPr>
        <w:t xml:space="preserve">MgSO4.7H20, KH2PO4 </w:t>
      </w:r>
      <w:r w:rsidR="005055E9">
        <w:rPr>
          <w:rFonts w:asciiTheme="majorBidi" w:hAnsiTheme="majorBidi" w:cstheme="majorBidi"/>
        </w:rPr>
        <w:t xml:space="preserve">et de </w:t>
      </w:r>
      <w:r w:rsidR="005055E9" w:rsidRPr="005055E9">
        <w:rPr>
          <w:rFonts w:asciiTheme="majorBidi" w:hAnsiTheme="majorBidi" w:cstheme="majorBidi"/>
          <w:b/>
          <w:bCs/>
        </w:rPr>
        <w:t>0.1</w:t>
      </w:r>
      <w:r w:rsidR="005055E9">
        <w:rPr>
          <w:rFonts w:asciiTheme="majorBidi" w:hAnsiTheme="majorBidi" w:cstheme="majorBidi"/>
          <w:b/>
          <w:bCs/>
        </w:rPr>
        <w:t xml:space="preserve"> (%)</w:t>
      </w:r>
      <w:r w:rsidR="005055E9" w:rsidRPr="003A4689">
        <w:rPr>
          <w:rFonts w:asciiTheme="majorBidi" w:hAnsiTheme="majorBidi" w:cstheme="majorBidi"/>
        </w:rPr>
        <w:t xml:space="preserve"> CaCl2</w:t>
      </w:r>
      <w:r w:rsidR="005055E9">
        <w:rPr>
          <w:rFonts w:asciiTheme="majorBidi" w:hAnsiTheme="majorBidi" w:cstheme="majorBidi"/>
        </w:rPr>
        <w:t xml:space="preserve">. </w:t>
      </w:r>
      <w:r w:rsidR="0025454F" w:rsidRPr="003A4689">
        <w:rPr>
          <w:rFonts w:asciiTheme="majorBidi" w:hAnsiTheme="majorBidi" w:cstheme="majorBidi"/>
        </w:rPr>
        <w:t xml:space="preserve">Les cultures sont réalisées dans des </w:t>
      </w:r>
      <w:r w:rsidR="00887797">
        <w:rPr>
          <w:rFonts w:asciiTheme="majorBidi" w:hAnsiTheme="majorBidi" w:cstheme="majorBidi"/>
        </w:rPr>
        <w:t>flacons (E</w:t>
      </w:r>
      <w:r w:rsidR="00887797" w:rsidRPr="003A4689">
        <w:rPr>
          <w:rFonts w:asciiTheme="majorBidi" w:hAnsiTheme="majorBidi" w:cstheme="majorBidi"/>
        </w:rPr>
        <w:t>rlenmeye</w:t>
      </w:r>
      <w:r w:rsidR="00887797">
        <w:rPr>
          <w:rFonts w:asciiTheme="majorBidi" w:hAnsiTheme="majorBidi" w:cstheme="majorBidi"/>
        </w:rPr>
        <w:t>r) en verre</w:t>
      </w:r>
      <w:r w:rsidR="0025454F" w:rsidRPr="003A4689">
        <w:rPr>
          <w:rFonts w:asciiTheme="majorBidi" w:hAnsiTheme="majorBidi" w:cstheme="majorBidi"/>
        </w:rPr>
        <w:t xml:space="preserve"> de 250 ml à raison de</w:t>
      </w:r>
      <w:r w:rsidR="00887797">
        <w:rPr>
          <w:rFonts w:asciiTheme="majorBidi" w:hAnsiTheme="majorBidi" w:cstheme="majorBidi"/>
        </w:rPr>
        <w:t xml:space="preserve"> (10</w:t>
      </w:r>
      <w:r w:rsidR="005055E9">
        <w:rPr>
          <w:rFonts w:asciiTheme="majorBidi" w:hAnsiTheme="majorBidi" w:cstheme="majorBidi"/>
        </w:rPr>
        <w:t>g/10</w:t>
      </w:r>
      <w:r w:rsidR="0025454F" w:rsidRPr="003A4689">
        <w:rPr>
          <w:rFonts w:asciiTheme="majorBidi" w:hAnsiTheme="majorBidi" w:cstheme="majorBidi"/>
        </w:rPr>
        <w:t>0 ml</w:t>
      </w:r>
      <w:r w:rsidR="005055E9">
        <w:rPr>
          <w:rFonts w:asciiTheme="majorBidi" w:hAnsiTheme="majorBidi" w:cstheme="majorBidi"/>
        </w:rPr>
        <w:t xml:space="preserve"> d’eau distillée)</w:t>
      </w:r>
      <w:r w:rsidR="0025454F" w:rsidRPr="003A4689">
        <w:rPr>
          <w:rFonts w:asciiTheme="majorBidi" w:hAnsiTheme="majorBidi" w:cstheme="majorBidi"/>
        </w:rPr>
        <w:t xml:space="preserve">, </w:t>
      </w:r>
      <w:r w:rsidR="005055E9">
        <w:rPr>
          <w:rFonts w:asciiTheme="majorBidi" w:hAnsiTheme="majorBidi" w:cstheme="majorBidi"/>
        </w:rPr>
        <w:t>puis  stérilisé</w:t>
      </w:r>
      <w:r>
        <w:rPr>
          <w:rFonts w:asciiTheme="majorBidi" w:hAnsiTheme="majorBidi" w:cstheme="majorBidi"/>
        </w:rPr>
        <w:t xml:space="preserve"> à 120°C/20min.</w:t>
      </w:r>
    </w:p>
    <w:p w:rsidR="005055E9" w:rsidRDefault="005055E9" w:rsidP="00F9683B">
      <w:pPr>
        <w:rPr>
          <w:rFonts w:asciiTheme="majorBidi" w:hAnsiTheme="majorBidi" w:cstheme="majorBidi"/>
        </w:rPr>
      </w:pPr>
    </w:p>
    <w:p w:rsidR="005055E9" w:rsidRPr="005055E9" w:rsidRDefault="005055E9" w:rsidP="00F9683B">
      <w:pPr>
        <w:rPr>
          <w:rFonts w:asciiTheme="majorBidi" w:hAnsiTheme="majorBidi" w:cstheme="majorBidi"/>
        </w:rPr>
        <w:sectPr w:rsidR="005055E9" w:rsidRPr="005055E9">
          <w:pgSz w:w="11920" w:h="16840"/>
          <w:pgMar w:top="660" w:right="1140" w:bottom="280" w:left="1120" w:header="319" w:footer="779" w:gutter="0"/>
          <w:cols w:space="720"/>
          <w:noEndnote/>
        </w:sectPr>
      </w:pPr>
    </w:p>
    <w:p w:rsidR="00F9683B" w:rsidRDefault="0025454F" w:rsidP="00F9683B">
      <w:pPr>
        <w:rPr>
          <w:rFonts w:asciiTheme="majorBidi" w:hAnsiTheme="majorBidi" w:cstheme="majorBidi"/>
        </w:rPr>
      </w:pPr>
      <w:r w:rsidRPr="003A4689">
        <w:rPr>
          <w:rFonts w:asciiTheme="majorBidi" w:hAnsiTheme="majorBidi" w:cstheme="majorBidi"/>
        </w:rPr>
        <w:lastRenderedPageBreak/>
        <w:t>Les milie</w:t>
      </w:r>
      <w:r w:rsidR="00887797">
        <w:rPr>
          <w:rFonts w:asciiTheme="majorBidi" w:hAnsiTheme="majorBidi" w:cstheme="majorBidi"/>
        </w:rPr>
        <w:t>ux sont ensuite ensemencés par 2mL</w:t>
      </w:r>
      <w:r w:rsidRPr="003A4689">
        <w:rPr>
          <w:rFonts w:asciiTheme="majorBidi" w:hAnsiTheme="majorBidi" w:cstheme="majorBidi"/>
        </w:rPr>
        <w:t xml:space="preserve"> de la suspension </w:t>
      </w:r>
      <w:r w:rsidR="00887797">
        <w:rPr>
          <w:rFonts w:asciiTheme="majorBidi" w:hAnsiTheme="majorBidi" w:cstheme="majorBidi"/>
        </w:rPr>
        <w:t>microbienne</w:t>
      </w:r>
      <w:r w:rsidRPr="003A4689">
        <w:rPr>
          <w:rFonts w:asciiTheme="majorBidi" w:hAnsiTheme="majorBidi" w:cstheme="majorBidi"/>
        </w:rPr>
        <w:t xml:space="preserve"> âgée de 18 heures. Les flacons</w:t>
      </w:r>
      <w:r w:rsidR="00887797" w:rsidRPr="00887797">
        <w:rPr>
          <w:rFonts w:asciiTheme="majorBidi" w:hAnsiTheme="majorBidi" w:cstheme="majorBidi"/>
        </w:rPr>
        <w:t xml:space="preserve"> </w:t>
      </w:r>
      <w:r w:rsidR="00887797">
        <w:rPr>
          <w:rFonts w:asciiTheme="majorBidi" w:hAnsiTheme="majorBidi" w:cstheme="majorBidi"/>
        </w:rPr>
        <w:t>(</w:t>
      </w:r>
      <w:proofErr w:type="spellStart"/>
      <w:r w:rsidR="00F9683B">
        <w:rPr>
          <w:rFonts w:asciiTheme="majorBidi" w:hAnsiTheme="majorBidi" w:cstheme="majorBidi"/>
        </w:rPr>
        <w:t>E</w:t>
      </w:r>
      <w:r w:rsidR="00F9683B" w:rsidRPr="003A4689">
        <w:rPr>
          <w:rFonts w:asciiTheme="majorBidi" w:hAnsiTheme="majorBidi" w:cstheme="majorBidi"/>
        </w:rPr>
        <w:t>rlenmeye</w:t>
      </w:r>
      <w:r w:rsidR="00F9683B">
        <w:rPr>
          <w:rFonts w:asciiTheme="majorBidi" w:hAnsiTheme="majorBidi" w:cstheme="majorBidi"/>
        </w:rPr>
        <w:t>rs</w:t>
      </w:r>
      <w:proofErr w:type="spellEnd"/>
      <w:r w:rsidR="00887797">
        <w:rPr>
          <w:rFonts w:asciiTheme="majorBidi" w:hAnsiTheme="majorBidi" w:cstheme="majorBidi"/>
        </w:rPr>
        <w:t>)</w:t>
      </w:r>
      <w:r w:rsidRPr="003A4689">
        <w:rPr>
          <w:rFonts w:asciiTheme="majorBidi" w:hAnsiTheme="majorBidi" w:cstheme="majorBidi"/>
        </w:rPr>
        <w:t xml:space="preserve"> de </w:t>
      </w:r>
      <w:r w:rsidR="00ED76F3">
        <w:rPr>
          <w:rFonts w:asciiTheme="majorBidi" w:hAnsiTheme="majorBidi" w:cstheme="majorBidi"/>
        </w:rPr>
        <w:t>fermentation  sont  ajusté au pH optimale et incubées (T</w:t>
      </w:r>
      <w:r w:rsidR="00ED76F3" w:rsidRPr="00ED76F3">
        <w:rPr>
          <w:rFonts w:asciiTheme="majorBidi" w:hAnsiTheme="majorBidi" w:cstheme="majorBidi"/>
          <w:vertAlign w:val="subscript"/>
        </w:rPr>
        <w:t>op</w:t>
      </w:r>
      <w:r w:rsidR="00ED76F3">
        <w:rPr>
          <w:rFonts w:asciiTheme="majorBidi" w:hAnsiTheme="majorBidi" w:cstheme="majorBidi"/>
        </w:rPr>
        <w:t xml:space="preserve">°C) </w:t>
      </w:r>
      <w:r w:rsidRPr="003A4689">
        <w:rPr>
          <w:rFonts w:asciiTheme="majorBidi" w:hAnsiTheme="majorBidi" w:cstheme="majorBidi"/>
        </w:rPr>
        <w:t xml:space="preserve">sous agitation à 150 tr/ min à 37 °C. </w:t>
      </w:r>
    </w:p>
    <w:p w:rsidR="0025454F" w:rsidRDefault="00F9683B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suivi de la</w:t>
      </w:r>
      <w:r w:rsidRPr="00622ABF">
        <w:rPr>
          <w:rFonts w:asciiTheme="majorBidi" w:hAnsiTheme="majorBidi" w:cstheme="majorBidi"/>
        </w:rPr>
        <w:t xml:space="preserve"> production fermentaire,</w:t>
      </w:r>
      <w:r>
        <w:rPr>
          <w:rFonts w:asciiTheme="majorBidi" w:hAnsiTheme="majorBidi" w:cstheme="majorBidi"/>
        </w:rPr>
        <w:t xml:space="preserve"> est effectué par la mesure des paramètres d’état microbiologique </w:t>
      </w:r>
      <w:r w:rsidRPr="00622ABF">
        <w:rPr>
          <w:rFonts w:asciiTheme="majorBidi" w:hAnsiTheme="majorBidi" w:cstheme="majorBidi"/>
        </w:rPr>
        <w:t>(X</w:t>
      </w:r>
      <w:r w:rsidRPr="00622ABF">
        <w:rPr>
          <w:rFonts w:asciiTheme="majorBidi" w:hAnsiTheme="majorBidi" w:cstheme="majorBidi"/>
          <w:vertAlign w:val="subscript"/>
        </w:rPr>
        <w:t>i</w:t>
      </w:r>
      <w:r w:rsidRPr="00622ABF">
        <w:rPr>
          <w:rFonts w:asciiTheme="majorBidi" w:hAnsiTheme="majorBidi" w:cstheme="majorBidi"/>
        </w:rPr>
        <w:t>, S</w:t>
      </w:r>
      <w:r w:rsidRPr="00622ABF">
        <w:rPr>
          <w:rFonts w:asciiTheme="majorBidi" w:hAnsiTheme="majorBidi" w:cstheme="majorBidi"/>
          <w:vertAlign w:val="subscript"/>
        </w:rPr>
        <w:t>i</w:t>
      </w:r>
      <w:r w:rsidRPr="00622ABF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Pr="00622ABF">
        <w:rPr>
          <w:rFonts w:asciiTheme="majorBidi" w:hAnsiTheme="majorBidi" w:cstheme="majorBidi"/>
        </w:rPr>
        <w:t>P</w:t>
      </w:r>
      <w:r w:rsidRPr="00622ABF">
        <w:rPr>
          <w:rFonts w:asciiTheme="majorBidi" w:hAnsiTheme="majorBidi" w:cstheme="majorBidi"/>
          <w:vertAlign w:val="subscript"/>
        </w:rPr>
        <w:t>i</w:t>
      </w:r>
      <w:r w:rsidRPr="00622ABF">
        <w:rPr>
          <w:rFonts w:asciiTheme="majorBidi" w:hAnsiTheme="majorBidi" w:cstheme="majorBidi"/>
        </w:rPr>
        <w:t xml:space="preserve">) </w:t>
      </w:r>
      <w:r w:rsidRPr="003A4689">
        <w:rPr>
          <w:rFonts w:asciiTheme="majorBidi" w:hAnsiTheme="majorBidi" w:cstheme="majorBidi"/>
        </w:rPr>
        <w:t xml:space="preserve">et </w:t>
      </w:r>
      <w:r>
        <w:rPr>
          <w:rFonts w:asciiTheme="majorBidi" w:hAnsiTheme="majorBidi" w:cstheme="majorBidi"/>
        </w:rPr>
        <w:t xml:space="preserve">également par la mesure de </w:t>
      </w:r>
      <w:r w:rsidRPr="003A4689">
        <w:rPr>
          <w:rFonts w:asciiTheme="majorBidi" w:hAnsiTheme="majorBidi" w:cstheme="majorBidi"/>
        </w:rPr>
        <w:t xml:space="preserve">l’activité enzymatique </w:t>
      </w:r>
      <w:r>
        <w:rPr>
          <w:rFonts w:asciiTheme="majorBidi" w:hAnsiTheme="majorBidi" w:cstheme="majorBidi"/>
        </w:rPr>
        <w:t>a des intervalles de temps :</w:t>
      </w:r>
      <w:r w:rsidRPr="00F9683B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0j ; 3j ; 5jours</w:t>
      </w:r>
    </w:p>
    <w:p w:rsidR="005055E9" w:rsidRDefault="005055E9" w:rsidP="00F9683B">
      <w:pPr>
        <w:rPr>
          <w:rFonts w:asciiTheme="majorBidi" w:hAnsiTheme="majorBidi" w:cstheme="majorBidi"/>
          <w:b/>
          <w:bCs/>
        </w:rPr>
      </w:pPr>
    </w:p>
    <w:p w:rsidR="0025454F" w:rsidRPr="0025454F" w:rsidRDefault="00F9683B" w:rsidP="00F9683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Evaluation de l’A</w:t>
      </w:r>
      <w:r w:rsidR="0025454F" w:rsidRPr="0025454F">
        <w:rPr>
          <w:rFonts w:asciiTheme="majorBidi" w:hAnsiTheme="majorBidi" w:cstheme="majorBidi"/>
          <w:b/>
          <w:bCs/>
        </w:rPr>
        <w:t>ctivité amylasique</w:t>
      </w:r>
    </w:p>
    <w:p w:rsidR="0055561F" w:rsidRDefault="003A4689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55561F">
        <w:rPr>
          <w:rFonts w:asciiTheme="majorBidi" w:hAnsiTheme="majorBidi" w:cstheme="majorBidi"/>
        </w:rPr>
        <w:tab/>
      </w:r>
      <w:r w:rsidR="0055561F">
        <w:rPr>
          <w:rFonts w:asciiTheme="majorBidi" w:hAnsiTheme="majorBidi" w:cstheme="majorBidi"/>
        </w:rPr>
        <w:tab/>
      </w:r>
    </w:p>
    <w:p w:rsidR="0025454F" w:rsidRPr="003A4689" w:rsidRDefault="0055561F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25454F" w:rsidRPr="003A4689">
        <w:rPr>
          <w:rFonts w:asciiTheme="majorBidi" w:hAnsiTheme="majorBidi" w:cstheme="majorBidi"/>
        </w:rPr>
        <w:t xml:space="preserve">L’activité amylasique est définie par l’hydrolyse enzymatique de l’amidon qui libère le glucose. Cette activité est mesurée par la méthode décrite par </w:t>
      </w:r>
      <w:proofErr w:type="spellStart"/>
      <w:r w:rsidR="0025454F" w:rsidRPr="00887797">
        <w:rPr>
          <w:rFonts w:asciiTheme="majorBidi" w:hAnsiTheme="majorBidi" w:cstheme="majorBidi"/>
          <w:b/>
          <w:bCs/>
        </w:rPr>
        <w:t>Bernfeld</w:t>
      </w:r>
      <w:proofErr w:type="spellEnd"/>
      <w:r w:rsidR="003A4689" w:rsidRPr="00887797">
        <w:rPr>
          <w:rFonts w:asciiTheme="majorBidi" w:hAnsiTheme="majorBidi" w:cstheme="majorBidi"/>
          <w:b/>
          <w:bCs/>
        </w:rPr>
        <w:t xml:space="preserve"> (1980)</w:t>
      </w:r>
      <w:r w:rsidR="0025454F" w:rsidRPr="003A4689">
        <w:rPr>
          <w:rFonts w:asciiTheme="majorBidi" w:hAnsiTheme="majorBidi" w:cstheme="majorBidi"/>
        </w:rPr>
        <w:t>, qui utilise l’amidon soluble comme substrat.  La réaction est colorimétrique et l’intensité de la coloration est proportionnelle à la quantité de sucres libérés.</w:t>
      </w:r>
    </w:p>
    <w:p w:rsidR="0025454F" w:rsidRDefault="003A4689" w:rsidP="00F9683B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ab/>
      </w:r>
      <w:r w:rsidR="0025454F" w:rsidRPr="003A4689">
        <w:rPr>
          <w:rFonts w:asciiTheme="majorBidi" w:hAnsiTheme="majorBidi" w:cstheme="majorBidi"/>
        </w:rPr>
        <w:t xml:space="preserve">Un volume de 200 µl du  solution  amidon 1% (m/v) est additionnée avec 200 µl de tampon phosphate (pH =7 à 0.1 M) au quel sont ajoutes 200 µL de l’extrait </w:t>
      </w:r>
      <w:r w:rsidRPr="003A4689">
        <w:rPr>
          <w:rFonts w:asciiTheme="majorBidi" w:hAnsiTheme="majorBidi" w:cstheme="majorBidi"/>
        </w:rPr>
        <w:t>enzymatique,</w:t>
      </w:r>
      <w:r w:rsidR="0025454F" w:rsidRPr="003A4689">
        <w:rPr>
          <w:rFonts w:asciiTheme="majorBidi" w:hAnsiTheme="majorBidi" w:cstheme="majorBidi"/>
        </w:rPr>
        <w:t xml:space="preserve"> Le mélange est incubé à</w:t>
      </w:r>
      <w:r w:rsidRPr="003A4689">
        <w:rPr>
          <w:rFonts w:asciiTheme="majorBidi" w:hAnsiTheme="majorBidi" w:cstheme="majorBidi"/>
        </w:rPr>
        <w:t xml:space="preserve"> </w:t>
      </w:r>
      <w:r w:rsidR="0025454F" w:rsidRPr="003A4689">
        <w:rPr>
          <w:rFonts w:asciiTheme="majorBidi" w:hAnsiTheme="majorBidi" w:cstheme="majorBidi"/>
        </w:rPr>
        <w:t>45°C pendant 30 minutes, la réaction est stoppé par l’addition de 300µl de DNS, un chauffage à 100°C est réalisé au bain marie pendant 5 minutes et le mélange est complété avec 1.5 ml de l’ eau distillée ;  la densité optique est mesurée l’aide d’un spectrophotomètre a une longueur d’onde de 530 nm</w:t>
      </w:r>
      <w:r w:rsidR="00F9683B">
        <w:rPr>
          <w:rFonts w:asciiTheme="majorBidi" w:hAnsiTheme="majorBidi" w:cstheme="majorBidi"/>
          <w:b/>
          <w:bCs/>
        </w:rPr>
        <w:t>.</w:t>
      </w:r>
    </w:p>
    <w:p w:rsidR="00F9683B" w:rsidRDefault="00F9683B" w:rsidP="00F9683B">
      <w:pPr>
        <w:rPr>
          <w:rFonts w:asciiTheme="majorBidi" w:hAnsiTheme="majorBidi" w:cstheme="majorBidi"/>
          <w:b/>
          <w:bCs/>
        </w:rPr>
      </w:pPr>
    </w:p>
    <w:p w:rsidR="0025454F" w:rsidRPr="0025454F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  <w:b/>
          <w:bCs/>
        </w:rPr>
        <w:t>Dosage des sucres totaux</w:t>
      </w:r>
    </w:p>
    <w:p w:rsidR="0025454F" w:rsidRPr="0025454F" w:rsidRDefault="00F9683B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25454F" w:rsidRPr="0025454F">
        <w:rPr>
          <w:rFonts w:asciiTheme="majorBidi" w:hAnsiTheme="majorBidi" w:cstheme="majorBidi"/>
        </w:rPr>
        <w:t xml:space="preserve">Le taux de sucre totaux est évalué selon la méthode de </w:t>
      </w:r>
      <w:r w:rsidR="0025454F" w:rsidRPr="0025454F">
        <w:rPr>
          <w:rFonts w:asciiTheme="majorBidi" w:hAnsiTheme="majorBidi" w:cstheme="majorBidi"/>
          <w:b/>
          <w:bCs/>
        </w:rPr>
        <w:t xml:space="preserve">Dubois, (1956) </w:t>
      </w:r>
      <w:r w:rsidR="0025454F" w:rsidRPr="0025454F">
        <w:rPr>
          <w:rFonts w:asciiTheme="majorBidi" w:hAnsiTheme="majorBidi" w:cstheme="majorBidi"/>
        </w:rPr>
        <w:t>.La solution à doser est obtenue par dissociation de 1g de poudre dans 100 ml d’eau distillée suivie d’une filtration,</w:t>
      </w:r>
    </w:p>
    <w:p w:rsidR="00F9683B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</w:rPr>
        <w:t>2 ml de sels de carries I et I</w:t>
      </w:r>
      <w:r w:rsidR="00034987">
        <w:rPr>
          <w:rFonts w:asciiTheme="majorBidi" w:hAnsiTheme="majorBidi" w:cstheme="majorBidi"/>
        </w:rPr>
        <w:t xml:space="preserve">I sont ajoutés respectivement  </w:t>
      </w:r>
      <w:r w:rsidRPr="0025454F">
        <w:rPr>
          <w:rFonts w:asciiTheme="majorBidi" w:hAnsiTheme="majorBidi" w:cstheme="majorBidi"/>
        </w:rPr>
        <w:t xml:space="preserve">au filtrat récupéré afin de faire précipiter les protéines, les lipides et les fibres. Après clarification ,1ml de l’extrait est prélevé et 1ml de phénol 5% et 3 ml d’acide sulfurique concentré sont respectivement. Après un repos de 20 min à l’abri de la lumière, la densité optique est mesurée à 550 nm à l’aide d’un spectrophotomètre. </w:t>
      </w:r>
    </w:p>
    <w:p w:rsidR="0025454F" w:rsidRPr="0025454F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</w:rPr>
        <w:t>Les teneurs sont déterminés en référence à une gamme d’étalon de glucose</w:t>
      </w:r>
      <w:r w:rsidR="00F9683B">
        <w:rPr>
          <w:rFonts w:asciiTheme="majorBidi" w:hAnsiTheme="majorBidi" w:cstheme="majorBidi"/>
        </w:rPr>
        <w:t>.</w:t>
      </w:r>
    </w:p>
    <w:p w:rsidR="0025454F" w:rsidRPr="0025454F" w:rsidRDefault="0025454F" w:rsidP="00F9683B">
      <w:pPr>
        <w:rPr>
          <w:rFonts w:asciiTheme="majorBidi" w:hAnsiTheme="majorBidi" w:cstheme="majorBidi"/>
        </w:rPr>
      </w:pPr>
    </w:p>
    <w:p w:rsidR="0025454F" w:rsidRPr="0025454F" w:rsidRDefault="003A4689" w:rsidP="00F9683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D</w:t>
      </w:r>
      <w:r w:rsidR="0025454F" w:rsidRPr="0025454F">
        <w:rPr>
          <w:rFonts w:asciiTheme="majorBidi" w:hAnsiTheme="majorBidi" w:cstheme="majorBidi"/>
          <w:b/>
          <w:bCs/>
        </w:rPr>
        <w:t>osages des sucres réducteurs</w:t>
      </w:r>
    </w:p>
    <w:p w:rsidR="0025454F" w:rsidRPr="0025454F" w:rsidRDefault="0025454F" w:rsidP="00F9683B">
      <w:pPr>
        <w:rPr>
          <w:rFonts w:asciiTheme="majorBidi" w:hAnsiTheme="majorBidi" w:cstheme="majorBidi"/>
        </w:rPr>
      </w:pPr>
    </w:p>
    <w:p w:rsidR="0025454F" w:rsidRPr="0025454F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</w:rPr>
        <w:t>Le dosage des sucres réducteurs est</w:t>
      </w:r>
      <w:r w:rsidRPr="0025454F">
        <w:rPr>
          <w:rFonts w:asciiTheme="majorBidi" w:hAnsiTheme="majorBidi" w:cstheme="majorBidi"/>
        </w:rPr>
        <w:tab/>
        <w:t xml:space="preserve">estimé selon la méthode de  </w:t>
      </w:r>
      <w:r w:rsidRPr="0025454F">
        <w:rPr>
          <w:rFonts w:asciiTheme="majorBidi" w:hAnsiTheme="majorBidi" w:cstheme="majorBidi"/>
          <w:b/>
          <w:bCs/>
        </w:rPr>
        <w:t xml:space="preserve">Miller, (1959). </w:t>
      </w:r>
      <w:r w:rsidRPr="0025454F">
        <w:rPr>
          <w:rFonts w:asciiTheme="majorBidi" w:hAnsiTheme="majorBidi" w:cstheme="majorBidi"/>
        </w:rPr>
        <w:t>Cette technique consiste à mélanger 300 µl de réactif  DNS à 200 µl de l’extrait à doser chauffer à</w:t>
      </w:r>
    </w:p>
    <w:p w:rsidR="0025454F" w:rsidRPr="0025454F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</w:rPr>
        <w:t>100°C pendant 5 min dans un bain marie compléter avec 1.5 ml d’eau distillée. La densité optique est mesurée à 530 nm. Les teneurs sont déterminés en référence à une gamme d’étalon de glucose</w:t>
      </w:r>
      <w:r w:rsidR="003A4689">
        <w:rPr>
          <w:rFonts w:asciiTheme="majorBidi" w:hAnsiTheme="majorBidi" w:cstheme="majorBidi"/>
        </w:rPr>
        <w:t>.</w:t>
      </w:r>
    </w:p>
    <w:p w:rsidR="0025454F" w:rsidRPr="0025454F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  <w:b/>
          <w:bCs/>
        </w:rPr>
        <w:t>Dosage des protéines</w:t>
      </w:r>
    </w:p>
    <w:p w:rsidR="0025454F" w:rsidRPr="0025454F" w:rsidRDefault="0025454F" w:rsidP="00F9683B">
      <w:pPr>
        <w:rPr>
          <w:rFonts w:asciiTheme="majorBidi" w:hAnsiTheme="majorBidi" w:cstheme="majorBidi"/>
        </w:rPr>
      </w:pPr>
    </w:p>
    <w:p w:rsidR="0025454F" w:rsidRPr="0025454F" w:rsidRDefault="0025454F" w:rsidP="00F9683B">
      <w:pPr>
        <w:rPr>
          <w:rFonts w:asciiTheme="majorBidi" w:hAnsiTheme="majorBidi" w:cstheme="majorBidi"/>
        </w:rPr>
      </w:pPr>
      <w:r w:rsidRPr="0025454F">
        <w:rPr>
          <w:rFonts w:asciiTheme="majorBidi" w:hAnsiTheme="majorBidi" w:cstheme="majorBidi"/>
        </w:rPr>
        <w:t xml:space="preserve">La méthode choisie est celle décrite par </w:t>
      </w:r>
      <w:r w:rsidRPr="0025454F">
        <w:rPr>
          <w:rFonts w:asciiTheme="majorBidi" w:hAnsiTheme="majorBidi" w:cstheme="majorBidi"/>
          <w:b/>
          <w:bCs/>
        </w:rPr>
        <w:t>Bradford (1976)</w:t>
      </w:r>
      <w:r w:rsidR="003A4689">
        <w:rPr>
          <w:rFonts w:asciiTheme="majorBidi" w:hAnsiTheme="majorBidi" w:cstheme="majorBidi"/>
          <w:b/>
          <w:bCs/>
        </w:rPr>
        <w:t>,</w:t>
      </w:r>
      <w:r w:rsidRPr="0025454F">
        <w:rPr>
          <w:rFonts w:asciiTheme="majorBidi" w:hAnsiTheme="majorBidi" w:cstheme="majorBidi"/>
          <w:b/>
          <w:bCs/>
        </w:rPr>
        <w:t xml:space="preserve"> </w:t>
      </w:r>
      <w:r w:rsidRPr="0025454F">
        <w:rPr>
          <w:rFonts w:asciiTheme="majorBidi" w:hAnsiTheme="majorBidi" w:cstheme="majorBidi"/>
        </w:rPr>
        <w:t xml:space="preserve">qui s’effectue à l’aide du réactif le bleu de </w:t>
      </w:r>
      <w:proofErr w:type="spellStart"/>
      <w:r w:rsidR="003A4689">
        <w:rPr>
          <w:rFonts w:asciiTheme="majorBidi" w:hAnsiTheme="majorBidi" w:cstheme="majorBidi"/>
        </w:rPr>
        <w:t>C</w:t>
      </w:r>
      <w:r w:rsidRPr="0025454F">
        <w:rPr>
          <w:rFonts w:asciiTheme="majorBidi" w:hAnsiTheme="majorBidi" w:cstheme="majorBidi"/>
        </w:rPr>
        <w:t>oomassie</w:t>
      </w:r>
      <w:proofErr w:type="spellEnd"/>
      <w:r w:rsidRPr="0025454F">
        <w:rPr>
          <w:rFonts w:asciiTheme="majorBidi" w:hAnsiTheme="majorBidi" w:cstheme="majorBidi"/>
        </w:rPr>
        <w:t xml:space="preserve">. La méthode consiste à faire réagir 100 µl de la solution à doser avec 3 ml du réactif, suivie </w:t>
      </w:r>
      <w:r w:rsidRPr="0025454F">
        <w:rPr>
          <w:rFonts w:asciiTheme="majorBidi" w:hAnsiTheme="majorBidi" w:cstheme="majorBidi"/>
        </w:rPr>
        <w:lastRenderedPageBreak/>
        <w:t>d’une mesure d’absorbance à 595nm à l’aide d’un spectrophotomètre .les résultats sont obtenue à partir d’une gamme d’étalon réalisée avec la BSA</w:t>
      </w:r>
      <w:r w:rsidR="003A4689">
        <w:rPr>
          <w:rFonts w:asciiTheme="majorBidi" w:hAnsiTheme="majorBidi" w:cstheme="majorBidi"/>
        </w:rPr>
        <w:t>.</w:t>
      </w:r>
    </w:p>
    <w:p w:rsidR="0025454F" w:rsidRPr="00622ABF" w:rsidRDefault="0025454F" w:rsidP="00F9683B">
      <w:pPr>
        <w:rPr>
          <w:rFonts w:asciiTheme="majorBidi" w:hAnsiTheme="majorBidi" w:cstheme="majorBidi"/>
        </w:rPr>
      </w:pPr>
    </w:p>
    <w:p w:rsidR="00622ABF" w:rsidRPr="00622ABF" w:rsidRDefault="00622ABF" w:rsidP="00F9683B">
      <w:pPr>
        <w:rPr>
          <w:rFonts w:asciiTheme="majorBidi" w:hAnsiTheme="majorBidi" w:cstheme="majorBidi"/>
        </w:rPr>
      </w:pPr>
    </w:p>
    <w:sectPr w:rsidR="00622ABF" w:rsidRPr="00622ABF" w:rsidSect="005055E9">
      <w:pgSz w:w="11906" w:h="16838"/>
      <w:pgMar w:top="1418" w:right="1247" w:bottom="1418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compat/>
  <w:rsids>
    <w:rsidRoot w:val="00622ABF"/>
    <w:rsid w:val="00034987"/>
    <w:rsid w:val="0025454F"/>
    <w:rsid w:val="002E1A95"/>
    <w:rsid w:val="003A4689"/>
    <w:rsid w:val="00494E88"/>
    <w:rsid w:val="005055E9"/>
    <w:rsid w:val="00530271"/>
    <w:rsid w:val="0055561F"/>
    <w:rsid w:val="00580DD4"/>
    <w:rsid w:val="00622ABF"/>
    <w:rsid w:val="00667C48"/>
    <w:rsid w:val="00694DEF"/>
    <w:rsid w:val="006E0D15"/>
    <w:rsid w:val="00887797"/>
    <w:rsid w:val="009D2AFC"/>
    <w:rsid w:val="00B602D6"/>
    <w:rsid w:val="00BA1E3B"/>
    <w:rsid w:val="00BF052E"/>
    <w:rsid w:val="00C32D12"/>
    <w:rsid w:val="00CB0B26"/>
    <w:rsid w:val="00CC1661"/>
    <w:rsid w:val="00D007C0"/>
    <w:rsid w:val="00ED76F3"/>
    <w:rsid w:val="00F212B3"/>
    <w:rsid w:val="00F60A3A"/>
    <w:rsid w:val="00F9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rameclaire-Accent11">
    <w:name w:val="Trame claire - Accent 11"/>
    <w:basedOn w:val="TableauNormal"/>
    <w:uiPriority w:val="60"/>
    <w:rsid w:val="002E1A95"/>
    <w:pPr>
      <w:spacing w:line="240" w:lineRule="auto"/>
      <w:ind w:right="-57" w:firstLine="210"/>
      <w:jc w:val="left"/>
    </w:pPr>
    <w:rPr>
      <w:color w:val="DBE5F1" w:themeColor="accent1" w:themeTint="33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CB0B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Biofood66</dc:creator>
  <cp:lastModifiedBy>Biofood66</cp:lastModifiedBy>
  <cp:revision>4</cp:revision>
  <dcterms:created xsi:type="dcterms:W3CDTF">2022-11-14T09:15:00Z</dcterms:created>
  <dcterms:modified xsi:type="dcterms:W3CDTF">2022-11-16T15:07:00Z</dcterms:modified>
</cp:coreProperties>
</file>