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E4" w:rsidRPr="00CD79E4" w:rsidRDefault="00CD79E4" w:rsidP="00CD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D79E4">
        <w:rPr>
          <w:rFonts w:asciiTheme="majorBidi" w:hAnsiTheme="majorBidi" w:cstheme="majorBidi"/>
          <w:b/>
          <w:bCs/>
          <w:sz w:val="32"/>
          <w:szCs w:val="32"/>
        </w:rPr>
        <w:t>Collecte et traitement des données</w:t>
      </w:r>
    </w:p>
    <w:p w:rsidR="00CD79E4" w:rsidRDefault="00CD79E4"/>
    <w:p w:rsidR="00CD79E4" w:rsidRPr="00F81A48" w:rsidRDefault="003574C9" w:rsidP="00F81A4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73213E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4235F2" w:rsidRPr="0073213E">
        <w:rPr>
          <w:rFonts w:asciiTheme="majorBidi" w:hAnsiTheme="majorBidi" w:cstheme="majorBidi"/>
          <w:b/>
          <w:bCs/>
          <w:sz w:val="28"/>
          <w:szCs w:val="28"/>
        </w:rPr>
        <w:t>ypes de donnée</w:t>
      </w:r>
      <w:r w:rsidR="00CD79E4" w:rsidRPr="0073213E">
        <w:rPr>
          <w:rFonts w:asciiTheme="majorBidi" w:hAnsiTheme="majorBidi" w:cstheme="majorBidi"/>
          <w:b/>
          <w:bCs/>
          <w:sz w:val="28"/>
          <w:szCs w:val="28"/>
        </w:rPr>
        <w:t>s :</w:t>
      </w:r>
    </w:p>
    <w:p w:rsidR="00CD79E4" w:rsidRPr="003574C9" w:rsidRDefault="00F63D33" w:rsidP="003574C9">
      <w:pPr>
        <w:jc w:val="both"/>
        <w:rPr>
          <w:rFonts w:asciiTheme="majorBidi" w:hAnsiTheme="majorBidi" w:cstheme="majorBidi"/>
          <w:sz w:val="24"/>
          <w:szCs w:val="24"/>
        </w:rPr>
      </w:pPr>
      <w:r w:rsidRPr="003574C9">
        <w:rPr>
          <w:rFonts w:asciiTheme="majorBidi" w:hAnsiTheme="majorBidi" w:cstheme="majorBidi"/>
          <w:sz w:val="24"/>
          <w:szCs w:val="24"/>
        </w:rPr>
        <w:t>La collecte des données remplit globalement deux fonctions : elle informe le concepteur sur le champ à traiter</w:t>
      </w:r>
      <w:r w:rsidR="003574C9">
        <w:rPr>
          <w:rFonts w:asciiTheme="majorBidi" w:hAnsiTheme="majorBidi" w:cstheme="majorBidi"/>
          <w:sz w:val="24"/>
          <w:szCs w:val="24"/>
        </w:rPr>
        <w:t xml:space="preserve"> et sur les caractéristiques des genres produits</w:t>
      </w:r>
      <w:r w:rsidRPr="003574C9">
        <w:rPr>
          <w:rFonts w:asciiTheme="majorBidi" w:hAnsiTheme="majorBidi" w:cstheme="majorBidi"/>
          <w:sz w:val="24"/>
          <w:szCs w:val="24"/>
        </w:rPr>
        <w:t>, et fournit des supports de séquences pédagogiques</w:t>
      </w:r>
    </w:p>
    <w:p w:rsidR="003574C9" w:rsidRPr="003574C9" w:rsidRDefault="003574C9" w:rsidP="003574C9">
      <w:pPr>
        <w:jc w:val="both"/>
        <w:rPr>
          <w:rFonts w:asciiTheme="majorBidi" w:hAnsiTheme="majorBidi" w:cstheme="majorBidi"/>
          <w:sz w:val="24"/>
          <w:szCs w:val="24"/>
        </w:rPr>
      </w:pPr>
      <w:r w:rsidRPr="003574C9">
        <w:rPr>
          <w:rFonts w:asciiTheme="majorBidi" w:hAnsiTheme="majorBidi" w:cstheme="majorBidi"/>
          <w:sz w:val="24"/>
          <w:szCs w:val="24"/>
        </w:rPr>
        <w:t>Le concepteur peut collecter</w:t>
      </w:r>
      <w:r w:rsidR="00D41DEA">
        <w:rPr>
          <w:rFonts w:asciiTheme="majorBidi" w:hAnsiTheme="majorBidi" w:cstheme="majorBidi"/>
          <w:sz w:val="24"/>
          <w:szCs w:val="24"/>
        </w:rPr>
        <w:t>, à côté des données culturelles,</w:t>
      </w:r>
      <w:r w:rsidRPr="003574C9">
        <w:rPr>
          <w:rFonts w:asciiTheme="majorBidi" w:hAnsiTheme="majorBidi" w:cstheme="majorBidi"/>
          <w:sz w:val="24"/>
          <w:szCs w:val="24"/>
        </w:rPr>
        <w:t xml:space="preserve"> des d</w:t>
      </w:r>
      <w:r w:rsidR="00837966" w:rsidRPr="003574C9">
        <w:rPr>
          <w:rFonts w:asciiTheme="majorBidi" w:hAnsiTheme="majorBidi" w:cstheme="majorBidi"/>
          <w:sz w:val="24"/>
          <w:szCs w:val="24"/>
        </w:rPr>
        <w:t>onnées existant</w:t>
      </w:r>
      <w:r w:rsidRPr="003574C9">
        <w:rPr>
          <w:rFonts w:asciiTheme="majorBidi" w:hAnsiTheme="majorBidi" w:cstheme="majorBidi"/>
          <w:sz w:val="24"/>
          <w:szCs w:val="24"/>
        </w:rPr>
        <w:t xml:space="preserve">es, sollicitées, reconstituées. </w:t>
      </w:r>
    </w:p>
    <w:p w:rsidR="003574C9" w:rsidRPr="0073213E" w:rsidRDefault="00837966" w:rsidP="0073213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73213E">
        <w:rPr>
          <w:rFonts w:asciiTheme="majorBidi" w:hAnsiTheme="majorBidi" w:cstheme="majorBidi"/>
          <w:b/>
          <w:bCs/>
          <w:sz w:val="26"/>
          <w:szCs w:val="26"/>
        </w:rPr>
        <w:t>Les données existantes</w:t>
      </w:r>
      <w:r w:rsidR="003574C9" w:rsidRPr="0073213E">
        <w:rPr>
          <w:rFonts w:asciiTheme="majorBidi" w:hAnsiTheme="majorBidi" w:cstheme="majorBidi"/>
          <w:b/>
          <w:bCs/>
          <w:sz w:val="26"/>
          <w:szCs w:val="26"/>
        </w:rPr>
        <w:t> </w:t>
      </w:r>
    </w:p>
    <w:p w:rsidR="003574C9" w:rsidRPr="0073213E" w:rsidRDefault="00837966" w:rsidP="0073213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78DC">
        <w:rPr>
          <w:rFonts w:asciiTheme="majorBidi" w:hAnsiTheme="majorBidi" w:cstheme="majorBidi"/>
          <w:sz w:val="24"/>
          <w:szCs w:val="24"/>
        </w:rPr>
        <w:t xml:space="preserve"> La collecte des données existantes consiste à recueillir les discours auxquels les apprenants seront confrontés en situation professionnelle</w:t>
      </w:r>
      <w:r w:rsidR="00A378DC">
        <w:rPr>
          <w:rFonts w:asciiTheme="majorBidi" w:hAnsiTheme="majorBidi" w:cstheme="majorBidi"/>
          <w:sz w:val="24"/>
          <w:szCs w:val="24"/>
        </w:rPr>
        <w:t xml:space="preserve"> ou universitaires</w:t>
      </w:r>
      <w:r w:rsidRPr="00A378DC">
        <w:rPr>
          <w:rFonts w:asciiTheme="majorBidi" w:hAnsiTheme="majorBidi" w:cstheme="majorBidi"/>
          <w:sz w:val="24"/>
          <w:szCs w:val="24"/>
        </w:rPr>
        <w:t>, sur le terrain.</w:t>
      </w:r>
      <w:r w:rsidR="003574C9" w:rsidRPr="00A378DC">
        <w:rPr>
          <w:rFonts w:asciiTheme="majorBidi" w:hAnsiTheme="majorBidi" w:cstheme="majorBidi"/>
          <w:sz w:val="24"/>
          <w:szCs w:val="24"/>
        </w:rPr>
        <w:t xml:space="preserve"> Pour les données écrites, il s’agit de tous les </w:t>
      </w:r>
      <w:r w:rsidR="00A378DC">
        <w:rPr>
          <w:rFonts w:asciiTheme="majorBidi" w:hAnsiTheme="majorBidi" w:cstheme="majorBidi"/>
          <w:sz w:val="24"/>
          <w:szCs w:val="24"/>
        </w:rPr>
        <w:t>documents</w:t>
      </w:r>
      <w:r w:rsidR="003574C9" w:rsidRPr="00A378DC">
        <w:rPr>
          <w:rFonts w:asciiTheme="majorBidi" w:hAnsiTheme="majorBidi" w:cstheme="majorBidi"/>
          <w:sz w:val="24"/>
          <w:szCs w:val="24"/>
        </w:rPr>
        <w:t xml:space="preserve"> écrits </w:t>
      </w:r>
      <w:r w:rsidR="00A378DC">
        <w:rPr>
          <w:rFonts w:asciiTheme="majorBidi" w:hAnsiTheme="majorBidi" w:cstheme="majorBidi"/>
          <w:sz w:val="24"/>
          <w:szCs w:val="24"/>
        </w:rPr>
        <w:t xml:space="preserve">produits </w:t>
      </w:r>
      <w:r w:rsidR="003574C9" w:rsidRPr="00A378DC">
        <w:rPr>
          <w:rFonts w:asciiTheme="majorBidi" w:hAnsiTheme="majorBidi" w:cstheme="majorBidi"/>
          <w:sz w:val="24"/>
          <w:szCs w:val="24"/>
        </w:rPr>
        <w:t>dans le monde professionnel ou universitaire. Les données orales</w:t>
      </w:r>
      <w:r w:rsidR="00A378DC" w:rsidRPr="00A378DC">
        <w:rPr>
          <w:rFonts w:asciiTheme="majorBidi" w:hAnsiTheme="majorBidi" w:cstheme="majorBidi"/>
          <w:sz w:val="24"/>
          <w:szCs w:val="24"/>
        </w:rPr>
        <w:t xml:space="preserve"> sont collectées auprès des ac</w:t>
      </w:r>
      <w:r w:rsidR="00A378DC">
        <w:rPr>
          <w:rFonts w:asciiTheme="majorBidi" w:hAnsiTheme="majorBidi" w:cstheme="majorBidi"/>
          <w:sz w:val="24"/>
          <w:szCs w:val="24"/>
        </w:rPr>
        <w:t>t</w:t>
      </w:r>
      <w:r w:rsidR="00A378DC" w:rsidRPr="00A378DC">
        <w:rPr>
          <w:rFonts w:asciiTheme="majorBidi" w:hAnsiTheme="majorBidi" w:cstheme="majorBidi"/>
          <w:sz w:val="24"/>
          <w:szCs w:val="24"/>
        </w:rPr>
        <w:t>eurs du terrain et nécessitent des autorisations pour les filmer ou enregistrer.</w:t>
      </w:r>
    </w:p>
    <w:p w:rsidR="0073213E" w:rsidRPr="0073213E" w:rsidRDefault="00837966" w:rsidP="0073213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73213E">
        <w:rPr>
          <w:rFonts w:asciiTheme="majorBidi" w:hAnsiTheme="majorBidi" w:cstheme="majorBidi"/>
          <w:b/>
          <w:bCs/>
          <w:sz w:val="26"/>
          <w:szCs w:val="26"/>
        </w:rPr>
        <w:t>Les données reconstituées</w:t>
      </w:r>
      <w:r w:rsidRPr="0073213E">
        <w:rPr>
          <w:rFonts w:asciiTheme="majorBidi" w:hAnsiTheme="majorBidi" w:cstheme="majorBidi"/>
          <w:sz w:val="26"/>
          <w:szCs w:val="26"/>
        </w:rPr>
        <w:t xml:space="preserve"> </w:t>
      </w:r>
      <w:r w:rsidR="00A378DC" w:rsidRPr="0073213E">
        <w:rPr>
          <w:rFonts w:asciiTheme="majorBidi" w:hAnsiTheme="majorBidi" w:cstheme="majorBidi"/>
          <w:sz w:val="26"/>
          <w:szCs w:val="26"/>
        </w:rPr>
        <w:t xml:space="preserve">  </w:t>
      </w:r>
    </w:p>
    <w:p w:rsidR="00A378DC" w:rsidRPr="00A378DC" w:rsidRDefault="00A378DC" w:rsidP="00A378D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78DC">
        <w:rPr>
          <w:rFonts w:asciiTheme="majorBidi" w:hAnsiTheme="majorBidi" w:cstheme="majorBidi"/>
          <w:sz w:val="24"/>
          <w:szCs w:val="24"/>
        </w:rPr>
        <w:t xml:space="preserve"> </w:t>
      </w:r>
      <w:r w:rsidR="0073213E" w:rsidRPr="00A378DC">
        <w:rPr>
          <w:rFonts w:asciiTheme="majorBidi" w:hAnsiTheme="majorBidi" w:cstheme="majorBidi"/>
          <w:sz w:val="24"/>
          <w:szCs w:val="24"/>
        </w:rPr>
        <w:t>Elles</w:t>
      </w:r>
      <w:r w:rsidRPr="00A378DC">
        <w:rPr>
          <w:rFonts w:asciiTheme="majorBidi" w:hAnsiTheme="majorBidi" w:cstheme="majorBidi"/>
          <w:sz w:val="24"/>
          <w:szCs w:val="24"/>
        </w:rPr>
        <w:t xml:space="preserve"> sont collectées</w:t>
      </w:r>
      <w:r>
        <w:rPr>
          <w:rFonts w:asciiTheme="majorBidi" w:hAnsiTheme="majorBidi" w:cstheme="majorBidi"/>
          <w:sz w:val="24"/>
          <w:szCs w:val="24"/>
        </w:rPr>
        <w:t xml:space="preserve"> généralement</w:t>
      </w:r>
      <w:r w:rsidRPr="00A378DC">
        <w:rPr>
          <w:rFonts w:asciiTheme="majorBidi" w:hAnsiTheme="majorBidi" w:cstheme="majorBidi"/>
          <w:sz w:val="24"/>
          <w:szCs w:val="24"/>
        </w:rPr>
        <w:t xml:space="preserve"> dans le cas où le concepteur se trouve</w:t>
      </w:r>
      <w:r w:rsidR="00F01FA8">
        <w:rPr>
          <w:rFonts w:asciiTheme="majorBidi" w:hAnsiTheme="majorBidi" w:cstheme="majorBidi"/>
          <w:sz w:val="24"/>
          <w:szCs w:val="24"/>
        </w:rPr>
        <w:t>rait</w:t>
      </w:r>
      <w:bookmarkStart w:id="0" w:name="_GoBack"/>
      <w:bookmarkEnd w:id="0"/>
      <w:r w:rsidRPr="00A378DC">
        <w:rPr>
          <w:rFonts w:asciiTheme="majorBidi" w:hAnsiTheme="majorBidi" w:cstheme="majorBidi"/>
          <w:sz w:val="24"/>
          <w:szCs w:val="24"/>
        </w:rPr>
        <w:t xml:space="preserve"> dans l’impossibilité de collecter des données existantes pour des raisons essentiellement de confidentialité.  Elles peuvent consister à «  </w:t>
      </w:r>
      <w:r w:rsidRPr="00A378DC">
        <w:rPr>
          <w:rFonts w:asciiTheme="majorBidi" w:hAnsiTheme="majorBidi" w:cstheme="majorBidi"/>
          <w:i/>
          <w:iCs/>
          <w:sz w:val="24"/>
          <w:szCs w:val="24"/>
        </w:rPr>
        <w:t>rejouer des scènes réelles avec des acteurs différents. Le concepteur peut filmer sa propre consultation médicale par exemple. - soit (en cas d’impossibilité d’enregistrement) à mémoriser à partir de situations réelles un maximum de données et de les reconstituer par la suite.  « </w:t>
      </w:r>
      <w:r w:rsidR="00837966" w:rsidRPr="00A378DC">
        <w:rPr>
          <w:rFonts w:asciiTheme="majorBidi" w:hAnsiTheme="majorBidi" w:cstheme="majorBidi"/>
          <w:i/>
          <w:iCs/>
          <w:sz w:val="24"/>
          <w:szCs w:val="24"/>
        </w:rPr>
        <w:t>Afin de résoudre ce problème, une procédure peut être adoptée, celle de reconstituer des données existantes</w:t>
      </w:r>
      <w:r w:rsidRPr="00A378DC">
        <w:rPr>
          <w:rFonts w:asciiTheme="majorBidi" w:hAnsiTheme="majorBidi" w:cstheme="majorBidi"/>
          <w:i/>
          <w:iCs/>
          <w:sz w:val="24"/>
          <w:szCs w:val="24"/>
        </w:rPr>
        <w:t xml:space="preserve"> (…) Ces données reconstituées peuvent être aussi écrites : cela consiste à changer, ou bien masquer les informations confidentielles sur les documents écrits (identité des personnes concernées, dates, lieux etc.)</w:t>
      </w:r>
      <w:r w:rsidRPr="00A378DC">
        <w:rPr>
          <w:rFonts w:asciiTheme="majorBidi" w:hAnsiTheme="majorBidi" w:cstheme="majorBidi"/>
          <w:sz w:val="24"/>
          <w:szCs w:val="24"/>
        </w:rPr>
        <w:t> »</w:t>
      </w:r>
      <w:r w:rsidR="009D2884">
        <w:rPr>
          <w:rStyle w:val="Appelnotedebasdep"/>
          <w:rFonts w:asciiTheme="majorBidi" w:hAnsiTheme="majorBidi" w:cstheme="majorBidi"/>
          <w:sz w:val="24"/>
          <w:szCs w:val="24"/>
        </w:rPr>
        <w:footnoteReference w:id="1"/>
      </w:r>
    </w:p>
    <w:p w:rsidR="0073213E" w:rsidRPr="0073213E" w:rsidRDefault="00837966" w:rsidP="00C24B70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73213E">
        <w:rPr>
          <w:rFonts w:asciiTheme="majorBidi" w:hAnsiTheme="majorBidi" w:cstheme="majorBidi"/>
          <w:b/>
          <w:bCs/>
          <w:sz w:val="26"/>
          <w:szCs w:val="26"/>
        </w:rPr>
        <w:t>Les données sollicitées</w:t>
      </w:r>
      <w:r w:rsidR="00A378DC" w:rsidRPr="0073213E">
        <w:rPr>
          <w:rFonts w:asciiTheme="majorBidi" w:hAnsiTheme="majorBidi" w:cstheme="majorBidi"/>
          <w:b/>
          <w:bCs/>
          <w:sz w:val="26"/>
          <w:szCs w:val="26"/>
        </w:rPr>
        <w:t> </w:t>
      </w:r>
    </w:p>
    <w:p w:rsidR="00C24B70" w:rsidRDefault="00A378DC" w:rsidP="0073213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4B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3213E" w:rsidRPr="00C24B70">
        <w:rPr>
          <w:rFonts w:asciiTheme="majorBidi" w:hAnsiTheme="majorBidi" w:cstheme="majorBidi"/>
          <w:sz w:val="24"/>
          <w:szCs w:val="24"/>
        </w:rPr>
        <w:t>Elles</w:t>
      </w:r>
      <w:r w:rsidRPr="00C24B70">
        <w:rPr>
          <w:rFonts w:asciiTheme="majorBidi" w:hAnsiTheme="majorBidi" w:cstheme="majorBidi"/>
          <w:sz w:val="24"/>
          <w:szCs w:val="24"/>
        </w:rPr>
        <w:t xml:space="preserve"> renvoient aux données collectées suite à des entretiens</w:t>
      </w:r>
      <w:r w:rsidRPr="00C24B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37966" w:rsidRPr="00C24B70">
        <w:rPr>
          <w:rFonts w:asciiTheme="majorBidi" w:hAnsiTheme="majorBidi" w:cstheme="majorBidi"/>
          <w:sz w:val="24"/>
          <w:szCs w:val="24"/>
        </w:rPr>
        <w:t xml:space="preserve"> </w:t>
      </w:r>
      <w:r w:rsidRPr="00C24B70">
        <w:rPr>
          <w:rFonts w:asciiTheme="majorBidi" w:hAnsiTheme="majorBidi" w:cstheme="majorBidi"/>
          <w:sz w:val="24"/>
          <w:szCs w:val="24"/>
        </w:rPr>
        <w:t xml:space="preserve">avec les acteurs du terrain. Elles remplissent deux fonctions ; </w:t>
      </w:r>
      <w:r w:rsidR="00C24B70" w:rsidRPr="00C24B70">
        <w:rPr>
          <w:rFonts w:asciiTheme="majorBidi" w:hAnsiTheme="majorBidi" w:cstheme="majorBidi"/>
          <w:sz w:val="24"/>
          <w:szCs w:val="24"/>
        </w:rPr>
        <w:t xml:space="preserve">Premièrement, </w:t>
      </w:r>
      <w:r w:rsidR="0073213E" w:rsidRPr="00C24B70">
        <w:rPr>
          <w:rFonts w:asciiTheme="majorBidi" w:hAnsiTheme="majorBidi" w:cstheme="majorBidi"/>
          <w:sz w:val="24"/>
          <w:szCs w:val="24"/>
        </w:rPr>
        <w:t>elles explicitent</w:t>
      </w:r>
      <w:r w:rsidR="00C24B70" w:rsidRPr="00C24B70">
        <w:rPr>
          <w:rFonts w:asciiTheme="majorBidi" w:hAnsiTheme="majorBidi" w:cstheme="majorBidi"/>
          <w:sz w:val="24"/>
          <w:szCs w:val="24"/>
        </w:rPr>
        <w:t xml:space="preserve"> la signification des données </w:t>
      </w:r>
      <w:r w:rsidR="00C24B70" w:rsidRPr="00C24B70">
        <w:rPr>
          <w:rFonts w:asciiTheme="majorBidi" w:hAnsiTheme="majorBidi" w:cstheme="majorBidi"/>
          <w:sz w:val="24"/>
          <w:szCs w:val="24"/>
        </w:rPr>
        <w:lastRenderedPageBreak/>
        <w:t xml:space="preserve">existantes.  Deuxièmement, </w:t>
      </w:r>
      <w:r w:rsidR="00C24B70">
        <w:rPr>
          <w:rFonts w:asciiTheme="majorBidi" w:hAnsiTheme="majorBidi" w:cstheme="majorBidi"/>
          <w:sz w:val="24"/>
          <w:szCs w:val="24"/>
        </w:rPr>
        <w:t>elles</w:t>
      </w:r>
      <w:r w:rsidR="00C24B70" w:rsidRPr="00C24B70">
        <w:rPr>
          <w:rFonts w:asciiTheme="majorBidi" w:hAnsiTheme="majorBidi" w:cstheme="majorBidi"/>
          <w:sz w:val="24"/>
          <w:szCs w:val="24"/>
        </w:rPr>
        <w:t xml:space="preserve"> complète</w:t>
      </w:r>
      <w:r w:rsidR="00C24B70">
        <w:rPr>
          <w:rFonts w:asciiTheme="majorBidi" w:hAnsiTheme="majorBidi" w:cstheme="majorBidi"/>
          <w:sz w:val="24"/>
          <w:szCs w:val="24"/>
        </w:rPr>
        <w:t>nt</w:t>
      </w:r>
      <w:r w:rsidR="00C24B70" w:rsidRPr="00C24B70">
        <w:rPr>
          <w:rFonts w:asciiTheme="majorBidi" w:hAnsiTheme="majorBidi" w:cstheme="majorBidi"/>
          <w:sz w:val="24"/>
          <w:szCs w:val="24"/>
        </w:rPr>
        <w:t xml:space="preserve"> les données existantes dans la mesure où elle</w:t>
      </w:r>
      <w:r w:rsidR="00C24B70">
        <w:rPr>
          <w:rFonts w:asciiTheme="majorBidi" w:hAnsiTheme="majorBidi" w:cstheme="majorBidi"/>
          <w:sz w:val="24"/>
          <w:szCs w:val="24"/>
        </w:rPr>
        <w:t>s</w:t>
      </w:r>
      <w:r w:rsidR="00C24B70" w:rsidRPr="00C24B70">
        <w:rPr>
          <w:rFonts w:asciiTheme="majorBidi" w:hAnsiTheme="majorBidi" w:cstheme="majorBidi"/>
          <w:sz w:val="24"/>
          <w:szCs w:val="24"/>
        </w:rPr>
        <w:t xml:space="preserve"> apporte</w:t>
      </w:r>
      <w:r w:rsidR="00C24B70">
        <w:rPr>
          <w:rFonts w:asciiTheme="majorBidi" w:hAnsiTheme="majorBidi" w:cstheme="majorBidi"/>
          <w:sz w:val="24"/>
          <w:szCs w:val="24"/>
        </w:rPr>
        <w:t>nt</w:t>
      </w:r>
      <w:r w:rsidR="00C24B70" w:rsidRPr="00C24B70">
        <w:rPr>
          <w:rFonts w:asciiTheme="majorBidi" w:hAnsiTheme="majorBidi" w:cstheme="majorBidi"/>
          <w:sz w:val="24"/>
          <w:szCs w:val="24"/>
        </w:rPr>
        <w:t xml:space="preserve"> des informations culturelles, institutionnelles</w:t>
      </w:r>
    </w:p>
    <w:p w:rsidR="0073213E" w:rsidRDefault="00C24B70" w:rsidP="0073213E">
      <w:pPr>
        <w:jc w:val="both"/>
      </w:pPr>
      <w:r>
        <w:t xml:space="preserve">. </w:t>
      </w:r>
      <w:r w:rsidRPr="0073213E">
        <w:rPr>
          <w:rFonts w:asciiTheme="majorBidi" w:hAnsiTheme="majorBidi" w:cstheme="majorBidi"/>
          <w:b/>
          <w:bCs/>
          <w:sz w:val="26"/>
          <w:szCs w:val="26"/>
        </w:rPr>
        <w:t>Les données culturelles</w:t>
      </w:r>
      <w:r w:rsidR="0073213E">
        <w:t> </w:t>
      </w:r>
    </w:p>
    <w:p w:rsidR="0073213E" w:rsidRDefault="0073213E" w:rsidP="0073213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3213E">
        <w:rPr>
          <w:rFonts w:asciiTheme="majorBidi" w:hAnsiTheme="majorBidi" w:cstheme="majorBidi"/>
          <w:sz w:val="24"/>
          <w:szCs w:val="24"/>
        </w:rPr>
        <w:t xml:space="preserve"> Elles sont liées à </w:t>
      </w:r>
      <w:r w:rsidRPr="0073213E">
        <w:rPr>
          <w:rFonts w:asciiTheme="majorBidi" w:hAnsiTheme="majorBidi" w:cstheme="majorBidi"/>
          <w:i/>
          <w:iCs/>
          <w:sz w:val="24"/>
          <w:szCs w:val="24"/>
        </w:rPr>
        <w:t>« </w:t>
      </w:r>
      <w:r w:rsidR="00C24B70" w:rsidRPr="0073213E">
        <w:rPr>
          <w:rFonts w:asciiTheme="majorBidi" w:hAnsiTheme="majorBidi" w:cstheme="majorBidi"/>
          <w:i/>
          <w:iCs/>
          <w:sz w:val="24"/>
          <w:szCs w:val="24"/>
        </w:rPr>
        <w:t xml:space="preserve">toute donnée qui véhicule des informations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signifiantes sur les attitudes, </w:t>
      </w:r>
      <w:r w:rsidR="00C24B70" w:rsidRPr="0073213E">
        <w:rPr>
          <w:rFonts w:asciiTheme="majorBidi" w:hAnsiTheme="majorBidi" w:cstheme="majorBidi"/>
          <w:i/>
          <w:iCs/>
          <w:sz w:val="24"/>
          <w:szCs w:val="24"/>
        </w:rPr>
        <w:t>les comportements, les croyances, les représentations, les valeurs, les normes, les coutumes, les règles d’usage, appropriées, partagées et transmises par les membres d’une société</w:t>
      </w:r>
      <w:r w:rsidRPr="0073213E">
        <w:rPr>
          <w:rFonts w:asciiTheme="majorBidi" w:hAnsiTheme="majorBidi" w:cstheme="majorBidi"/>
          <w:sz w:val="24"/>
          <w:szCs w:val="24"/>
        </w:rPr>
        <w:t> »</w:t>
      </w:r>
      <w:r w:rsidR="00C24B70" w:rsidRPr="0073213E">
        <w:rPr>
          <w:rFonts w:asciiTheme="majorBidi" w:hAnsiTheme="majorBidi" w:cstheme="majorBidi"/>
          <w:sz w:val="24"/>
          <w:szCs w:val="24"/>
        </w:rPr>
        <w:t>.</w:t>
      </w:r>
      <w:r w:rsidR="009D2884">
        <w:rPr>
          <w:rStyle w:val="Appelnotedebasdep"/>
          <w:rFonts w:asciiTheme="majorBidi" w:hAnsiTheme="majorBidi" w:cstheme="majorBidi"/>
          <w:sz w:val="24"/>
          <w:szCs w:val="24"/>
        </w:rPr>
        <w:footnoteReference w:id="2"/>
      </w:r>
    </w:p>
    <w:p w:rsidR="0073213E" w:rsidRPr="0073213E" w:rsidRDefault="0073213E" w:rsidP="0073213E">
      <w:pPr>
        <w:pBdr>
          <w:bottom w:val="single" w:sz="4" w:space="1" w:color="auto"/>
        </w:pBdr>
        <w:shd w:val="clear" w:color="auto" w:fill="BFBFBF" w:themeFill="background1" w:themeFillShade="BF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73213E">
        <w:rPr>
          <w:rFonts w:asciiTheme="majorBidi" w:hAnsiTheme="majorBidi" w:cstheme="majorBidi"/>
          <w:b/>
          <w:bCs/>
          <w:sz w:val="26"/>
          <w:szCs w:val="26"/>
        </w:rPr>
        <w:t>Activité :</w:t>
      </w:r>
    </w:p>
    <w:p w:rsidR="0073213E" w:rsidRPr="009D2884" w:rsidRDefault="0073213E" w:rsidP="0073213E">
      <w:p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73213E">
        <w:rPr>
          <w:rFonts w:asciiTheme="majorBidi" w:hAnsiTheme="majorBidi" w:cstheme="majorBidi"/>
          <w:b/>
          <w:bCs/>
          <w:sz w:val="24"/>
          <w:szCs w:val="24"/>
          <w:u w:val="single"/>
        </w:rPr>
        <w:t>Consigne :</w:t>
      </w:r>
      <w:r w:rsidR="006E654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E6545" w:rsidRPr="009D2884">
        <w:rPr>
          <w:rFonts w:asciiTheme="majorBidi" w:hAnsiTheme="majorBidi" w:cstheme="majorBidi"/>
          <w:sz w:val="24"/>
          <w:szCs w:val="24"/>
        </w:rPr>
        <w:t>identifiez les types de données collectées (existantes, sollicitées, reconstituées, culturelles)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0"/>
        <w:gridCol w:w="222"/>
        <w:gridCol w:w="3520"/>
        <w:gridCol w:w="222"/>
        <w:gridCol w:w="2372"/>
        <w:gridCol w:w="222"/>
      </w:tblGrid>
      <w:tr w:rsidR="00C3666B" w:rsidTr="00957453"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Un cours d’économie reformulé sous forme de résumé par le formateur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Le guide de l’étudiant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consultation médicale</w:t>
            </w:r>
          </w:p>
        </w:tc>
        <w:tc>
          <w:tcPr>
            <w:tcW w:w="0" w:type="auto"/>
          </w:tcPr>
          <w:p w:rsidR="00957453" w:rsidRDefault="00957453"/>
        </w:tc>
      </w:tr>
      <w:tr w:rsidR="00C3666B" w:rsidTr="00957453">
        <w:tc>
          <w:tcPr>
            <w:tcW w:w="0" w:type="auto"/>
          </w:tcPr>
          <w:p w:rsidR="00957453" w:rsidRPr="00C3666B" w:rsidRDefault="00C3666B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957453" w:rsidRPr="00C3666B">
              <w:rPr>
                <w:rFonts w:asciiTheme="majorBidi" w:hAnsiTheme="majorBidi" w:cstheme="majorBidi"/>
                <w:sz w:val="24"/>
                <w:szCs w:val="24"/>
              </w:rPr>
              <w:t>es extraits de cours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une interview de l’enseignant qui présente les examens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Une explication orale des modes de validation</w:t>
            </w:r>
          </w:p>
        </w:tc>
        <w:tc>
          <w:tcPr>
            <w:tcW w:w="0" w:type="auto"/>
          </w:tcPr>
          <w:p w:rsidR="00957453" w:rsidRDefault="00957453"/>
        </w:tc>
      </w:tr>
      <w:tr w:rsidR="00C3666B" w:rsidTr="00957453">
        <w:tc>
          <w:tcPr>
            <w:tcW w:w="0" w:type="auto"/>
          </w:tcPr>
          <w:p w:rsidR="00957453" w:rsidRPr="00C3666B" w:rsidRDefault="00C3666B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 xml:space="preserve">Des </w:t>
            </w:r>
            <w:r w:rsidR="00957453" w:rsidRPr="00C3666B">
              <w:rPr>
                <w:rFonts w:asciiTheme="majorBidi" w:hAnsiTheme="majorBidi" w:cstheme="majorBidi"/>
                <w:sz w:val="24"/>
                <w:szCs w:val="24"/>
              </w:rPr>
              <w:t>Brochures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Une copie de sujet d’examen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Un mail d’un employé à son supérieur</w:t>
            </w:r>
          </w:p>
        </w:tc>
        <w:tc>
          <w:tcPr>
            <w:tcW w:w="0" w:type="auto"/>
          </w:tcPr>
          <w:p w:rsidR="00957453" w:rsidRDefault="00957453"/>
        </w:tc>
      </w:tr>
      <w:tr w:rsidR="00C3666B" w:rsidTr="00957453"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Un entretien avec le chef de service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Article numérique</w:t>
            </w:r>
            <w:r w:rsidR="00C3666B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C3666B">
              <w:rPr>
                <w:rFonts w:asciiTheme="majorBidi" w:hAnsiTheme="majorBidi" w:cstheme="majorBidi"/>
                <w:sz w:val="24"/>
                <w:szCs w:val="24"/>
              </w:rPr>
              <w:t xml:space="preserve"> comment accueillir un client : les règles à respecter »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Un enregistrement vidéo d’une réunion</w:t>
            </w:r>
          </w:p>
        </w:tc>
        <w:tc>
          <w:tcPr>
            <w:tcW w:w="0" w:type="auto"/>
          </w:tcPr>
          <w:p w:rsidR="00957453" w:rsidRDefault="00957453"/>
        </w:tc>
      </w:tr>
      <w:tr w:rsidR="00C3666B" w:rsidTr="00957453"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 xml:space="preserve">Transcription et notes prises par </w:t>
            </w:r>
            <w:r w:rsidR="00C3666B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C3666B">
              <w:rPr>
                <w:rFonts w:asciiTheme="majorBidi" w:hAnsiTheme="majorBidi" w:cstheme="majorBidi"/>
                <w:sz w:val="24"/>
                <w:szCs w:val="24"/>
              </w:rPr>
              <w:t>e concepteur  lors d’une réunion de travail</w:t>
            </w: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57453" w:rsidRPr="00C3666B" w:rsidRDefault="00957453" w:rsidP="00C366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66B">
              <w:rPr>
                <w:rFonts w:asciiTheme="majorBidi" w:hAnsiTheme="majorBidi" w:cstheme="majorBidi"/>
                <w:sz w:val="24"/>
                <w:szCs w:val="24"/>
              </w:rPr>
              <w:t>Ouvrages sur la façon de travailler en Chine</w:t>
            </w:r>
          </w:p>
        </w:tc>
        <w:tc>
          <w:tcPr>
            <w:tcW w:w="0" w:type="auto"/>
          </w:tcPr>
          <w:p w:rsidR="00957453" w:rsidRDefault="00957453"/>
        </w:tc>
      </w:tr>
    </w:tbl>
    <w:p w:rsidR="00D41DEA" w:rsidRDefault="00D41DEA" w:rsidP="00F81A4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235F2" w:rsidRPr="00D41DEA" w:rsidRDefault="004235F2" w:rsidP="00D41DE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D41DEA">
        <w:rPr>
          <w:rFonts w:asciiTheme="majorBidi" w:hAnsiTheme="majorBidi" w:cstheme="majorBidi"/>
          <w:b/>
          <w:bCs/>
          <w:sz w:val="28"/>
          <w:szCs w:val="28"/>
        </w:rPr>
        <w:t xml:space="preserve">Analyse </w:t>
      </w:r>
      <w:r w:rsidR="0073213E" w:rsidRPr="00D41DEA">
        <w:rPr>
          <w:rFonts w:asciiTheme="majorBidi" w:hAnsiTheme="majorBidi" w:cstheme="majorBidi"/>
          <w:b/>
          <w:bCs/>
          <w:sz w:val="28"/>
          <w:szCs w:val="28"/>
        </w:rPr>
        <w:t>des données</w:t>
      </w:r>
    </w:p>
    <w:p w:rsidR="00D41DEA" w:rsidRPr="00D41DEA" w:rsidRDefault="009D2884" w:rsidP="00D41DE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D2884">
        <w:rPr>
          <w:rFonts w:asciiTheme="majorBidi" w:hAnsiTheme="majorBidi" w:cstheme="majorBidi"/>
          <w:shd w:val="clear" w:color="auto" w:fill="E2E1D8"/>
        </w:rPr>
        <w:t>Chartrand définit les genres comme « </w:t>
      </w:r>
      <w:r w:rsidR="00556B0D" w:rsidRPr="009D2884">
        <w:rPr>
          <w:rFonts w:asciiTheme="majorBidi" w:hAnsiTheme="majorBidi" w:cstheme="majorBidi"/>
          <w:i/>
          <w:iCs/>
          <w:sz w:val="24"/>
          <w:szCs w:val="24"/>
          <w:shd w:val="clear" w:color="auto" w:fill="E2E1D8"/>
        </w:rPr>
        <w:t>un ensemble de productions langagières orales ou écrites qui, dans une culture donnée, possèdent des caractéristiques communes</w:t>
      </w:r>
      <w:r w:rsidR="00556B0D" w:rsidRPr="009D2884">
        <w:rPr>
          <w:rFonts w:asciiTheme="majorBidi" w:hAnsiTheme="majorBidi" w:cstheme="majorBidi"/>
          <w:shd w:val="clear" w:color="auto" w:fill="E2E1D8"/>
        </w:rPr>
        <w:t>. (chartrand , 2015)</w:t>
      </w:r>
      <w:r w:rsidRPr="009D288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D2884">
        <w:rPr>
          <w:rFonts w:asciiTheme="majorBidi" w:hAnsiTheme="majorBidi" w:cstheme="majorBidi"/>
          <w:sz w:val="24"/>
          <w:szCs w:val="24"/>
        </w:rPr>
        <w:t>selon elle,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56B0D">
        <w:rPr>
          <w:rFonts w:asciiTheme="majorBidi" w:hAnsiTheme="majorBidi" w:cstheme="majorBidi"/>
          <w:i/>
          <w:iCs/>
          <w:sz w:val="24"/>
          <w:szCs w:val="24"/>
        </w:rPr>
        <w:t>«  Un genre est défini à partir d’un ensemble de caractéristiques d’ordres divers, dont la configuration et l’importance relative varient</w:t>
      </w:r>
      <w:r w:rsidR="00D41DEA">
        <w:rPr>
          <w:rFonts w:asciiTheme="majorBidi" w:hAnsiTheme="majorBidi" w:cstheme="majorBidi"/>
          <w:sz w:val="24"/>
          <w:szCs w:val="24"/>
        </w:rPr>
        <w:t xml:space="preserve"> d’un genre à un autre. </w:t>
      </w:r>
    </w:p>
    <w:p w:rsidR="00556B0D" w:rsidRDefault="004235F2" w:rsidP="009D2884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2884">
        <w:rPr>
          <w:rFonts w:asciiTheme="majorBidi" w:hAnsiTheme="majorBidi" w:cstheme="majorBidi"/>
          <w:b/>
          <w:bCs/>
          <w:sz w:val="28"/>
          <w:szCs w:val="28"/>
        </w:rPr>
        <w:t>Modèles de l’analyse</w:t>
      </w:r>
    </w:p>
    <w:p w:rsidR="009D2884" w:rsidRPr="00B96BE5" w:rsidRDefault="009D2884" w:rsidP="00D41DEA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Modèle </w:t>
      </w:r>
      <w:r w:rsidRPr="00B96BE5">
        <w:rPr>
          <w:rStyle w:val="Accentuation"/>
          <w:rFonts w:asciiTheme="majorBidi" w:hAnsiTheme="majorBidi" w:cstheme="majorBidi"/>
          <w:b/>
          <w:bCs/>
          <w:i w:val="0"/>
          <w:iCs w:val="0"/>
          <w:spacing w:val="2"/>
          <w:sz w:val="26"/>
          <w:szCs w:val="26"/>
          <w:shd w:val="clear" w:color="auto" w:fill="FFFFFF"/>
        </w:rPr>
        <w:t>Chartrand</w:t>
      </w:r>
      <w:r w:rsidRPr="00B96BE5">
        <w:rPr>
          <w:rFonts w:asciiTheme="majorBidi" w:hAnsiTheme="majorBidi" w:cstheme="majorBidi"/>
          <w:b/>
          <w:bCs/>
          <w:spacing w:val="2"/>
          <w:sz w:val="26"/>
          <w:szCs w:val="26"/>
          <w:shd w:val="clear" w:color="auto" w:fill="FFFFFF"/>
        </w:rPr>
        <w:t>, Suzanne-Geneviève</w:t>
      </w:r>
      <w:r w:rsidR="00B96BE5">
        <w:rPr>
          <w:rFonts w:asciiTheme="majorBidi" w:hAnsiTheme="majorBidi" w:cstheme="majorBidi"/>
          <w:b/>
          <w:bCs/>
          <w:spacing w:val="2"/>
          <w:sz w:val="26"/>
          <w:szCs w:val="26"/>
          <w:shd w:val="clear" w:color="auto" w:fill="FFFFFF"/>
        </w:rPr>
        <w:t xml:space="preserve"> (2015)</w:t>
      </w:r>
    </w:p>
    <w:p w:rsidR="00556B0D" w:rsidRPr="00556B0D" w:rsidRDefault="00556B0D" w:rsidP="00556B0D">
      <w:pPr>
        <w:shd w:val="clear" w:color="auto" w:fill="EFEEEB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686254"/>
          <w:sz w:val="28"/>
          <w:szCs w:val="28"/>
        </w:rPr>
      </w:pPr>
      <w:r w:rsidRPr="00556B0D">
        <w:rPr>
          <w:rFonts w:ascii="Arial" w:eastAsia="Times New Roman" w:hAnsi="Arial" w:cs="Arial"/>
          <w:b/>
          <w:bCs/>
          <w:i/>
          <w:iCs/>
          <w:color w:val="686254"/>
          <w:sz w:val="28"/>
        </w:rPr>
        <w:t>Les caractéristiques d’un genre peuvent être :</w:t>
      </w:r>
    </w:p>
    <w:p w:rsidR="00556B0D" w:rsidRPr="00556B0D" w:rsidRDefault="00556B0D" w:rsidP="00556B0D">
      <w:pPr>
        <w:numPr>
          <w:ilvl w:val="1"/>
          <w:numId w:val="2"/>
        </w:numPr>
        <w:shd w:val="clear" w:color="auto" w:fill="EFEEEB"/>
        <w:spacing w:after="48" w:line="240" w:lineRule="auto"/>
        <w:ind w:left="660"/>
        <w:rPr>
          <w:rFonts w:ascii="Arial" w:eastAsia="Times New Roman" w:hAnsi="Arial" w:cs="Arial"/>
          <w:color w:val="686254"/>
          <w:sz w:val="19"/>
          <w:szCs w:val="19"/>
        </w:rPr>
      </w:pPr>
      <w:r w:rsidRPr="00556B0D">
        <w:rPr>
          <w:rFonts w:ascii="Arial" w:eastAsia="Times New Roman" w:hAnsi="Arial" w:cs="Arial"/>
          <w:color w:val="686254"/>
          <w:sz w:val="19"/>
          <w:szCs w:val="19"/>
        </w:rPr>
        <w:lastRenderedPageBreak/>
        <w:t>des caractéristiques </w:t>
      </w:r>
      <w:r w:rsidRPr="00556B0D">
        <w:rPr>
          <w:rFonts w:ascii="SinkinSemiBold" w:eastAsia="Times New Roman" w:hAnsi="SinkinSemiBold" w:cs="Arial"/>
          <w:b/>
          <w:bCs/>
          <w:color w:val="686254"/>
          <w:sz w:val="19"/>
        </w:rPr>
        <w:t>communicationnelles</w:t>
      </w:r>
      <w:r w:rsidRPr="00556B0D">
        <w:rPr>
          <w:rFonts w:ascii="Arial" w:eastAsia="Times New Roman" w:hAnsi="Arial" w:cs="Arial"/>
          <w:color w:val="686254"/>
          <w:sz w:val="19"/>
          <w:szCs w:val="19"/>
        </w:rPr>
        <w:t> ;</w:t>
      </w:r>
    </w:p>
    <w:p w:rsidR="00556B0D" w:rsidRPr="00556B0D" w:rsidRDefault="00556B0D" w:rsidP="00556B0D">
      <w:pPr>
        <w:numPr>
          <w:ilvl w:val="1"/>
          <w:numId w:val="2"/>
        </w:numPr>
        <w:shd w:val="clear" w:color="auto" w:fill="EFEEEB"/>
        <w:spacing w:after="48" w:line="240" w:lineRule="auto"/>
        <w:ind w:left="660"/>
        <w:rPr>
          <w:rFonts w:ascii="Arial" w:eastAsia="Times New Roman" w:hAnsi="Arial" w:cs="Arial"/>
          <w:color w:val="686254"/>
          <w:sz w:val="19"/>
          <w:szCs w:val="19"/>
        </w:rPr>
      </w:pPr>
      <w:r w:rsidRPr="00556B0D">
        <w:rPr>
          <w:rFonts w:ascii="Arial" w:eastAsia="Times New Roman" w:hAnsi="Arial" w:cs="Arial"/>
          <w:color w:val="686254"/>
          <w:sz w:val="19"/>
          <w:szCs w:val="19"/>
        </w:rPr>
        <w:t>des caractéristiques </w:t>
      </w:r>
      <w:r w:rsidRPr="00556B0D">
        <w:rPr>
          <w:rFonts w:ascii="SinkinSemiBold" w:eastAsia="Times New Roman" w:hAnsi="SinkinSemiBold" w:cs="Arial"/>
          <w:b/>
          <w:bCs/>
          <w:color w:val="686254"/>
          <w:sz w:val="19"/>
        </w:rPr>
        <w:t>textuelles</w:t>
      </w:r>
      <w:r w:rsidRPr="00556B0D">
        <w:rPr>
          <w:rFonts w:ascii="Arial" w:eastAsia="Times New Roman" w:hAnsi="Arial" w:cs="Arial"/>
          <w:color w:val="686254"/>
          <w:sz w:val="19"/>
          <w:szCs w:val="19"/>
        </w:rPr>
        <w:t> ;</w:t>
      </w:r>
    </w:p>
    <w:p w:rsidR="00556B0D" w:rsidRPr="00556B0D" w:rsidRDefault="00556B0D" w:rsidP="00556B0D">
      <w:pPr>
        <w:numPr>
          <w:ilvl w:val="1"/>
          <w:numId w:val="2"/>
        </w:numPr>
        <w:shd w:val="clear" w:color="auto" w:fill="EFEEEB"/>
        <w:spacing w:after="48" w:line="240" w:lineRule="auto"/>
        <w:ind w:left="660"/>
        <w:rPr>
          <w:rFonts w:ascii="Arial" w:eastAsia="Times New Roman" w:hAnsi="Arial" w:cs="Arial"/>
          <w:color w:val="686254"/>
          <w:sz w:val="19"/>
          <w:szCs w:val="19"/>
        </w:rPr>
      </w:pPr>
      <w:r w:rsidRPr="00556B0D">
        <w:rPr>
          <w:rFonts w:ascii="Arial" w:eastAsia="Times New Roman" w:hAnsi="Arial" w:cs="Arial"/>
          <w:color w:val="686254"/>
          <w:sz w:val="19"/>
          <w:szCs w:val="19"/>
        </w:rPr>
        <w:t>des caractéristiques </w:t>
      </w:r>
      <w:r w:rsidRPr="00556B0D">
        <w:rPr>
          <w:rFonts w:ascii="SinkinSemiBold" w:eastAsia="Times New Roman" w:hAnsi="SinkinSemiBold" w:cs="Arial"/>
          <w:b/>
          <w:bCs/>
          <w:color w:val="686254"/>
          <w:sz w:val="19"/>
        </w:rPr>
        <w:t>sémantiques</w:t>
      </w:r>
      <w:r w:rsidRPr="00556B0D">
        <w:rPr>
          <w:rFonts w:ascii="Arial" w:eastAsia="Times New Roman" w:hAnsi="Arial" w:cs="Arial"/>
          <w:color w:val="686254"/>
          <w:sz w:val="19"/>
          <w:szCs w:val="19"/>
        </w:rPr>
        <w:t> ;</w:t>
      </w:r>
    </w:p>
    <w:p w:rsidR="00556B0D" w:rsidRPr="00556B0D" w:rsidRDefault="00556B0D" w:rsidP="00556B0D">
      <w:pPr>
        <w:numPr>
          <w:ilvl w:val="1"/>
          <w:numId w:val="2"/>
        </w:numPr>
        <w:shd w:val="clear" w:color="auto" w:fill="EFEEEB"/>
        <w:spacing w:after="48" w:line="240" w:lineRule="auto"/>
        <w:ind w:left="660"/>
        <w:rPr>
          <w:rFonts w:ascii="Arial" w:eastAsia="Times New Roman" w:hAnsi="Arial" w:cs="Arial"/>
          <w:color w:val="686254"/>
          <w:sz w:val="19"/>
          <w:szCs w:val="19"/>
        </w:rPr>
      </w:pPr>
      <w:r w:rsidRPr="00556B0D">
        <w:rPr>
          <w:rFonts w:ascii="Arial" w:eastAsia="Times New Roman" w:hAnsi="Arial" w:cs="Arial"/>
          <w:color w:val="686254"/>
          <w:sz w:val="19"/>
          <w:szCs w:val="19"/>
        </w:rPr>
        <w:t>des caractéristiques </w:t>
      </w:r>
      <w:r w:rsidRPr="00556B0D">
        <w:rPr>
          <w:rFonts w:ascii="SinkinSemiBold" w:eastAsia="Times New Roman" w:hAnsi="SinkinSemiBold" w:cs="Arial"/>
          <w:b/>
          <w:bCs/>
          <w:color w:val="686254"/>
          <w:sz w:val="19"/>
        </w:rPr>
        <w:t>grammaticales</w:t>
      </w:r>
      <w:r w:rsidRPr="00556B0D">
        <w:rPr>
          <w:rFonts w:ascii="Arial" w:eastAsia="Times New Roman" w:hAnsi="Arial" w:cs="Arial"/>
          <w:color w:val="686254"/>
          <w:sz w:val="19"/>
          <w:szCs w:val="19"/>
        </w:rPr>
        <w:t> ;</w:t>
      </w:r>
    </w:p>
    <w:p w:rsidR="00556B0D" w:rsidRPr="00556B0D" w:rsidRDefault="00556B0D" w:rsidP="00556B0D">
      <w:pPr>
        <w:numPr>
          <w:ilvl w:val="1"/>
          <w:numId w:val="2"/>
        </w:numPr>
        <w:shd w:val="clear" w:color="auto" w:fill="EFEEEB"/>
        <w:spacing w:after="48" w:line="240" w:lineRule="auto"/>
        <w:ind w:left="660"/>
        <w:rPr>
          <w:rFonts w:ascii="Arial" w:eastAsia="Times New Roman" w:hAnsi="Arial" w:cs="Arial"/>
          <w:color w:val="686254"/>
          <w:sz w:val="19"/>
          <w:szCs w:val="19"/>
        </w:rPr>
      </w:pPr>
      <w:r w:rsidRPr="00556B0D">
        <w:rPr>
          <w:rFonts w:ascii="Arial" w:eastAsia="Times New Roman" w:hAnsi="Arial" w:cs="Arial"/>
          <w:color w:val="686254"/>
          <w:sz w:val="19"/>
          <w:szCs w:val="19"/>
        </w:rPr>
        <w:t>des caractéristiques </w:t>
      </w:r>
      <w:r w:rsidRPr="00556B0D">
        <w:rPr>
          <w:rFonts w:ascii="SinkinSemiBold" w:eastAsia="Times New Roman" w:hAnsi="SinkinSemiBold" w:cs="Arial"/>
          <w:b/>
          <w:bCs/>
          <w:color w:val="686254"/>
          <w:sz w:val="19"/>
        </w:rPr>
        <w:t>graphiques</w:t>
      </w:r>
      <w:r w:rsidRPr="00556B0D">
        <w:rPr>
          <w:rFonts w:ascii="Arial" w:eastAsia="Times New Roman" w:hAnsi="Arial" w:cs="Arial"/>
          <w:color w:val="686254"/>
          <w:sz w:val="19"/>
          <w:szCs w:val="19"/>
        </w:rPr>
        <w:t> ou visuelles (autres que les signes de la langue) ou des caractéristiques d’</w:t>
      </w:r>
      <w:r w:rsidRPr="00556B0D">
        <w:rPr>
          <w:rFonts w:ascii="SinkinSemiBold" w:eastAsia="Times New Roman" w:hAnsi="SinkinSemiBold" w:cs="Arial"/>
          <w:b/>
          <w:bCs/>
          <w:color w:val="686254"/>
          <w:sz w:val="19"/>
        </w:rPr>
        <w:t>oralité</w:t>
      </w:r>
      <w:r w:rsidRPr="00556B0D">
        <w:rPr>
          <w:rFonts w:ascii="Arial" w:eastAsia="Times New Roman" w:hAnsi="Arial" w:cs="Arial"/>
          <w:color w:val="686254"/>
          <w:sz w:val="19"/>
          <w:szCs w:val="19"/>
        </w:rPr>
        <w:t> (genres oraux).</w:t>
      </w:r>
    </w:p>
    <w:p w:rsidR="004235F2" w:rsidRDefault="004235F2">
      <w:r>
        <w:t xml:space="preserve"> 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1</w:t>
      </w:r>
      <w:r w:rsidRPr="00556B0D">
        <w:rPr>
          <w:rFonts w:asciiTheme="majorBidi" w:hAnsiTheme="majorBidi" w:cstheme="majorBidi"/>
          <w:b/>
          <w:bCs/>
          <w:sz w:val="24"/>
          <w:szCs w:val="24"/>
        </w:rPr>
        <w:t>. Des caractéristiques communicationnelles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L’intention de communication de l’énonciateur (ou le but du message) : divertir, produire des connaissances, faire agir, transmettre des savoirs, informer, défendre une opinion, raconter, justifier ses choix, relater des évènements, etc.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 contexte social de production et de réception du texte qui comprend les éléments suivants :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• le lieu de production et le lieu de réception;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• le temps où il a été produit et le temps réel ou potentiel de sa réception;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• la sphère d’activité ou l’institution où le genre est produit et où il trouve sa légitimité, par exemple :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- l’économie : publicité télévisée, annonce classée, bilan financier d’une société, etc.;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- le journalisme : éditorial, chronique, article, lettre ouverte, communiqué de presse, etc.; le droit : plaidoirie, sentence, contrat, etc.;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- la littérature : roman de science-fiction, sonnet, nouvelle, pièce de théâtre, etc.;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- l’école : dissertation, récitation, justification de la solution d’un problème de mathématique, réponses écrites à un examen, etc.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L’énonciateur : singulier ou pluriel; célèbre ou non; identifié par une signature (nom et fonction sociale ou appartenance sociale, nom seul, nom collectif) ou non.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 destinataire : spécifique (lettre administrative) ou non; singulier (lettre personnelle) ou collectif (slogan).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 monde représenté : concret ou abstrait; réel ou fictif.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Les thèmes traités : guerre, culture, travail, consommation, amour, etc</w:t>
      </w:r>
    </w:p>
    <w:p w:rsidR="00556B0D" w:rsidRPr="00963868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63868">
        <w:rPr>
          <w:rFonts w:asciiTheme="majorBidi" w:hAnsiTheme="majorBidi" w:cstheme="majorBidi"/>
          <w:b/>
          <w:bCs/>
          <w:sz w:val="24"/>
          <w:szCs w:val="24"/>
        </w:rPr>
        <w:t>2. Des caractéristiques textuelles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La structure du texte selon un plan de texte (présence ou absence d’introduction, de conclusion) en lien avec la taille du texte.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La structure compositionnelle : séquence textuelle dominante ou non (hétérogénéité textuelle); séquence textuelle enchâssante ou enchâssée.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 système énonciatif : présence ou non de marques énonciatives, de discours rapportés, de marques de modalité.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 système des temps verbaux : temps dominant (temps présent de l’indicatif ou un temps du passé de l’indicatif).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L’emploi privilégié de procédés langagiers (exemplification, définition, reformulation, explicitation, etc.).</w:t>
      </w:r>
    </w:p>
    <w:p w:rsidR="00556B0D" w:rsidRPr="00963868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63868">
        <w:rPr>
          <w:rFonts w:asciiTheme="majorBidi" w:hAnsiTheme="majorBidi" w:cstheme="majorBidi"/>
          <w:b/>
          <w:bCs/>
          <w:sz w:val="24"/>
          <w:szCs w:val="24"/>
        </w:rPr>
        <w:t>3. Des caractéristiques sémantiques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La présence de figures (de style) ou non.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Le(s) champs sémantique(s).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L’emploi particulier du lexique.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 vocabulaire courant ou spécialisé; précis ou non; de sens propre ou figuré.</w:t>
      </w:r>
    </w:p>
    <w:p w:rsidR="00556B0D" w:rsidRPr="00963868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63868">
        <w:rPr>
          <w:rFonts w:asciiTheme="majorBidi" w:hAnsiTheme="majorBidi" w:cstheme="majorBidi"/>
          <w:b/>
          <w:bCs/>
          <w:sz w:val="24"/>
          <w:szCs w:val="24"/>
        </w:rPr>
        <w:t>4. Des</w:t>
      </w:r>
      <w:r w:rsidR="00963868">
        <w:rPr>
          <w:rFonts w:asciiTheme="majorBidi" w:hAnsiTheme="majorBidi" w:cstheme="majorBidi"/>
          <w:b/>
          <w:bCs/>
          <w:sz w:val="24"/>
          <w:szCs w:val="24"/>
        </w:rPr>
        <w:t xml:space="preserve"> caractéristiques grammaticales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lastRenderedPageBreak/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L’emploi privilégié de structures de phrase (passive, concessive, interrogative, emphatique, etc.).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L’emploi d’une ponctuation plutôt neutre ou plutôt expressive.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3868">
        <w:rPr>
          <w:rFonts w:asciiTheme="majorBidi" w:hAnsiTheme="majorBidi" w:cstheme="majorBidi"/>
          <w:b/>
          <w:bCs/>
          <w:sz w:val="24"/>
          <w:szCs w:val="24"/>
        </w:rPr>
        <w:t xml:space="preserve">5a. Des caractéristiques graphiques ou visuelles </w:t>
      </w:r>
      <w:r w:rsidRPr="00556B0D">
        <w:rPr>
          <w:rFonts w:asciiTheme="majorBidi" w:hAnsiTheme="majorBidi" w:cstheme="majorBidi"/>
          <w:sz w:val="24"/>
          <w:szCs w:val="24"/>
        </w:rPr>
        <w:t>(autres que les signes de la langue)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Une iconographie ou non.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Des marques graphiques et typographiques ou non.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Des intitulés ou non.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Une mise en page élaborée ou non, compte tenu du support privilégié : livre, affiche, dépliant, journal, revue, brochure, site Web, panneau, etc.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Des décors, des éclairages, des effets spéciaux.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Des séquences filmées selon différents plans.</w:t>
      </w:r>
    </w:p>
    <w:p w:rsidR="00556B0D" w:rsidRPr="00963868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63868">
        <w:rPr>
          <w:rFonts w:asciiTheme="majorBidi" w:hAnsiTheme="majorBidi" w:cstheme="majorBidi"/>
          <w:b/>
          <w:bCs/>
          <w:sz w:val="24"/>
          <w:szCs w:val="24"/>
        </w:rPr>
        <w:t>5b. Des caractéristiques d’oralité (genres oraux)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La prosodie (intonation, ton, rythme, accentuation).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Le regard, la mimique, la gestuelle, la posture.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Une production spontanée ou non; en interaction ou non; en direct ou différé.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eastAsia="MS Gothic" w:hAnsi="MS Gothic" w:cstheme="majorBidi"/>
          <w:sz w:val="24"/>
          <w:szCs w:val="24"/>
        </w:rPr>
        <w:t>✦</w:t>
      </w:r>
      <w:r w:rsidRPr="00556B0D">
        <w:rPr>
          <w:rFonts w:asciiTheme="majorBidi" w:hAnsiTheme="majorBidi" w:cstheme="majorBidi"/>
          <w:sz w:val="24"/>
          <w:szCs w:val="24"/>
        </w:rPr>
        <w:t xml:space="preserve"> Un arrière-fond sonore ou non.</w:t>
      </w:r>
    </w:p>
    <w:p w:rsidR="00556B0D" w:rsidRPr="00556B0D" w:rsidRDefault="00556B0D" w:rsidP="00963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6B0D">
        <w:rPr>
          <w:rFonts w:asciiTheme="majorBidi" w:hAnsiTheme="majorBidi" w:cstheme="majorBidi"/>
          <w:sz w:val="24"/>
          <w:szCs w:val="24"/>
        </w:rPr>
        <w:t>Certains genres ne se distinguent que par quelques caractéristiques seulement, par exemple le texte d’opinion et la lettre ouverte; d’autres, par un plus grand nombre, par exemple le roman policier et le roman historique, comme nous le verrons dans les fiches qui suivent.</w:t>
      </w:r>
    </w:p>
    <w:p w:rsidR="00D41DEA" w:rsidRDefault="00D41DEA" w:rsidP="009D288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D2884" w:rsidRPr="00D41DEA" w:rsidRDefault="00963868" w:rsidP="00D41DEA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41DEA">
        <w:rPr>
          <w:rFonts w:asciiTheme="majorBidi" w:hAnsiTheme="majorBidi" w:cstheme="majorBidi"/>
          <w:b/>
          <w:bCs/>
          <w:sz w:val="24"/>
          <w:szCs w:val="24"/>
        </w:rPr>
        <w:t>Modèle de Richer (2005)</w:t>
      </w:r>
      <w:r w:rsidR="00F01FA8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65pt;margin-top:27.05pt;width:402.35pt;height:430.5pt;z-index:251660288;mso-position-horizontal-relative:text;mso-position-vertical-relative:text;mso-width-relative:margin;mso-height-relative:margin">
            <v:textbox>
              <w:txbxContent>
                <w:p w:rsidR="00F01FA8" w:rsidRDefault="00F01FA8" w:rsidP="00963868">
                  <w:r>
                    <w:rPr>
                      <w:noProof/>
                    </w:rPr>
                    <w:drawing>
                      <wp:inline distT="0" distB="0" distL="0" distR="0">
                        <wp:extent cx="4857750" cy="5334000"/>
                        <wp:effectExtent l="19050" t="0" r="0" b="0"/>
                        <wp:docPr id="2" name="Image 2" descr="D:\séminaire FOS\COURS FOS\cours4\Captu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séminaire FOS\COURS FOS\cours4\Captu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0423" cy="5325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P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9D2884" w:rsidRDefault="009D2884" w:rsidP="009D2884">
      <w:pPr>
        <w:rPr>
          <w:rFonts w:asciiTheme="majorBidi" w:hAnsiTheme="majorBidi" w:cstheme="majorBidi"/>
          <w:sz w:val="24"/>
          <w:szCs w:val="24"/>
        </w:rPr>
      </w:pPr>
    </w:p>
    <w:p w:rsidR="004235F2" w:rsidRDefault="004235F2" w:rsidP="009D2884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2884" w:rsidRDefault="009D2884" w:rsidP="00D41DEA">
      <w:pPr>
        <w:rPr>
          <w:rFonts w:asciiTheme="majorBidi" w:hAnsiTheme="majorBidi" w:cstheme="majorBidi"/>
          <w:sz w:val="24"/>
          <w:szCs w:val="24"/>
        </w:rPr>
      </w:pPr>
    </w:p>
    <w:p w:rsidR="00D41DEA" w:rsidRPr="00D41DEA" w:rsidRDefault="00D41DEA" w:rsidP="00D41DEA">
      <w:pPr>
        <w:pBdr>
          <w:bottom w:val="single" w:sz="4" w:space="1" w:color="auto"/>
        </w:pBdr>
        <w:shd w:val="clear" w:color="auto" w:fill="BFBFBF" w:themeFill="background1" w:themeFillShade="BF"/>
        <w:rPr>
          <w:rFonts w:asciiTheme="majorBidi" w:hAnsiTheme="majorBidi" w:cstheme="majorBidi"/>
          <w:sz w:val="24"/>
          <w:szCs w:val="24"/>
        </w:rPr>
      </w:pPr>
      <w:r w:rsidRPr="00D41DEA">
        <w:rPr>
          <w:rFonts w:asciiTheme="majorBidi" w:hAnsiTheme="majorBidi" w:cstheme="majorBidi"/>
          <w:b/>
          <w:bCs/>
          <w:sz w:val="24"/>
          <w:szCs w:val="24"/>
        </w:rPr>
        <w:t>Activité :</w:t>
      </w:r>
      <w:r w:rsidRPr="00D41DEA">
        <w:rPr>
          <w:rFonts w:asciiTheme="majorBidi" w:hAnsiTheme="majorBidi" w:cstheme="majorBidi"/>
          <w:sz w:val="24"/>
          <w:szCs w:val="24"/>
        </w:rPr>
        <w:t xml:space="preserve"> </w:t>
      </w:r>
    </w:p>
    <w:p w:rsidR="00D41DEA" w:rsidRDefault="00D41DEA" w:rsidP="000A68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1DEA">
        <w:rPr>
          <w:rFonts w:asciiTheme="majorBidi" w:hAnsiTheme="majorBidi" w:cstheme="majorBidi"/>
          <w:b/>
          <w:bCs/>
          <w:sz w:val="24"/>
          <w:szCs w:val="24"/>
          <w:u w:val="single"/>
        </w:rPr>
        <w:t>Consigne :</w:t>
      </w:r>
      <w:r>
        <w:rPr>
          <w:rFonts w:asciiTheme="majorBidi" w:hAnsiTheme="majorBidi" w:cstheme="majorBidi"/>
          <w:sz w:val="24"/>
          <w:szCs w:val="24"/>
        </w:rPr>
        <w:t xml:space="preserve"> dégagez les caractéristiques des deux genres suivants : </w:t>
      </w:r>
      <w:r w:rsidR="000A68F3">
        <w:rPr>
          <w:rFonts w:asciiTheme="majorBidi" w:hAnsiTheme="majorBidi" w:cstheme="majorBidi"/>
          <w:b/>
          <w:bCs/>
          <w:sz w:val="24"/>
          <w:szCs w:val="24"/>
        </w:rPr>
        <w:t>dépliant d’hôtel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Pr="00D41DEA">
        <w:rPr>
          <w:rFonts w:asciiTheme="majorBidi" w:hAnsiTheme="majorBidi" w:cstheme="majorBidi"/>
          <w:b/>
          <w:bCs/>
          <w:sz w:val="24"/>
          <w:szCs w:val="24"/>
        </w:rPr>
        <w:t>un compte rendu de l’opération du chargement de la marchandise</w:t>
      </w:r>
      <w:r w:rsidR="000A68F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0A68F3" w:rsidRDefault="000A68F3" w:rsidP="000A68F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A68F3" w:rsidRDefault="000A68F3" w:rsidP="000A68F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A68F3" w:rsidRDefault="000A68F3" w:rsidP="000A68F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A68F3" w:rsidRDefault="000A68F3" w:rsidP="000A68F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32622" w:rsidRPr="00D41DEA" w:rsidRDefault="00C32622" w:rsidP="000A68F3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C32622" w:rsidRPr="00D41DEA" w:rsidSect="006918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A8" w:rsidRDefault="00F01FA8" w:rsidP="00CD79E4">
      <w:pPr>
        <w:spacing w:after="0" w:line="240" w:lineRule="auto"/>
      </w:pPr>
      <w:r>
        <w:separator/>
      </w:r>
    </w:p>
  </w:endnote>
  <w:endnote w:type="continuationSeparator" w:id="0">
    <w:p w:rsidR="00F01FA8" w:rsidRDefault="00F01FA8" w:rsidP="00CD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nkinSemi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A8" w:rsidRDefault="00F01FA8" w:rsidP="00CD79E4">
      <w:pPr>
        <w:spacing w:after="0" w:line="240" w:lineRule="auto"/>
      </w:pPr>
      <w:r>
        <w:separator/>
      </w:r>
    </w:p>
  </w:footnote>
  <w:footnote w:type="continuationSeparator" w:id="0">
    <w:p w:rsidR="00F01FA8" w:rsidRDefault="00F01FA8" w:rsidP="00CD79E4">
      <w:pPr>
        <w:spacing w:after="0" w:line="240" w:lineRule="auto"/>
      </w:pPr>
      <w:r>
        <w:continuationSeparator/>
      </w:r>
    </w:p>
  </w:footnote>
  <w:footnote w:id="1">
    <w:p w:rsidR="00F01FA8" w:rsidRPr="009D2884" w:rsidRDefault="00F01FA8" w:rsidP="009D2884">
      <w:pPr>
        <w:pStyle w:val="Notedebasdepage"/>
        <w:rPr>
          <w:rFonts w:asciiTheme="majorBidi" w:hAnsiTheme="majorBidi" w:cstheme="majorBidi"/>
          <w:i/>
          <w:iCs/>
        </w:rPr>
      </w:pPr>
      <w:r w:rsidRPr="009D2884">
        <w:rPr>
          <w:rStyle w:val="Appelnotedebasdep"/>
          <w:rFonts w:asciiTheme="majorBidi" w:hAnsiTheme="majorBidi" w:cstheme="majorBidi"/>
        </w:rPr>
        <w:footnoteRef/>
      </w:r>
      <w:r w:rsidRPr="009D2884">
        <w:rPr>
          <w:rFonts w:asciiTheme="majorBidi" w:hAnsiTheme="majorBidi" w:cstheme="majorBidi"/>
        </w:rPr>
        <w:t xml:space="preserve"> Laura Abou Haidar, « Typologie des données en FOS » in </w:t>
      </w:r>
      <w:r w:rsidRPr="009D2884">
        <w:rPr>
          <w:rFonts w:asciiTheme="majorBidi" w:hAnsiTheme="majorBidi" w:cstheme="majorBidi"/>
          <w:i/>
          <w:iCs/>
        </w:rPr>
        <w:t>Points communs, recherches en didactique du français sur objectif spécifiques, 2015</w:t>
      </w:r>
    </w:p>
  </w:footnote>
  <w:footnote w:id="2">
    <w:p w:rsidR="00F01FA8" w:rsidRDefault="00F01FA8">
      <w:pPr>
        <w:pStyle w:val="Notedebasdepage"/>
      </w:pPr>
      <w:r>
        <w:rPr>
          <w:rStyle w:val="Appelnotedebasdep"/>
        </w:rPr>
        <w:footnoteRef/>
      </w:r>
      <w:r>
        <w:t xml:space="preserve"> idem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FA8" w:rsidRPr="00D215FF" w:rsidRDefault="00F01FA8" w:rsidP="00CD79E4">
    <w:pPr>
      <w:pStyle w:val="En-tte"/>
      <w:rPr>
        <w:rFonts w:asciiTheme="majorBidi" w:hAnsiTheme="majorBidi" w:cstheme="majorBidi"/>
        <w:b/>
        <w:bCs/>
      </w:rPr>
    </w:pPr>
    <w:r w:rsidRPr="0018244F">
      <w:rPr>
        <w:rFonts w:asciiTheme="majorBidi" w:hAnsiTheme="majorBidi" w:cstheme="majorBidi"/>
        <w:b/>
        <w:bCs/>
        <w:i/>
        <w:iCs/>
      </w:rPr>
      <w:t>Module : Français pour des publics spécifiques</w:t>
    </w:r>
    <w:r>
      <w:rPr>
        <w:rFonts w:asciiTheme="majorBidi" w:hAnsiTheme="majorBidi" w:cstheme="majorBidi"/>
        <w:b/>
        <w:bCs/>
      </w:rPr>
      <w:t xml:space="preserve">                                </w:t>
    </w:r>
    <w:r w:rsidRPr="0018244F">
      <w:rPr>
        <w:rFonts w:asciiTheme="majorBidi" w:hAnsiTheme="majorBidi" w:cstheme="majorBidi"/>
        <w:b/>
        <w:bCs/>
        <w:i/>
        <w:iCs/>
      </w:rPr>
      <w:t>Enseignante/ Ait Moula</w:t>
    </w:r>
  </w:p>
  <w:p w:rsidR="00F01FA8" w:rsidRDefault="00F01FA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CAD"/>
    <w:multiLevelType w:val="multilevel"/>
    <w:tmpl w:val="49A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63FB0"/>
    <w:multiLevelType w:val="hybridMultilevel"/>
    <w:tmpl w:val="4AAAE4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A2ED1"/>
    <w:multiLevelType w:val="hybridMultilevel"/>
    <w:tmpl w:val="72D015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757B6"/>
    <w:multiLevelType w:val="hybridMultilevel"/>
    <w:tmpl w:val="4006841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ED71D7"/>
    <w:multiLevelType w:val="hybridMultilevel"/>
    <w:tmpl w:val="3FC6E4CA"/>
    <w:lvl w:ilvl="0" w:tplc="A260D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35F2"/>
    <w:rsid w:val="000A68F3"/>
    <w:rsid w:val="003574C9"/>
    <w:rsid w:val="004235F2"/>
    <w:rsid w:val="00556B0D"/>
    <w:rsid w:val="005A21CF"/>
    <w:rsid w:val="0069182A"/>
    <w:rsid w:val="006E6545"/>
    <w:rsid w:val="0073213E"/>
    <w:rsid w:val="008163CE"/>
    <w:rsid w:val="00832544"/>
    <w:rsid w:val="00837966"/>
    <w:rsid w:val="00845CB1"/>
    <w:rsid w:val="00957453"/>
    <w:rsid w:val="00963868"/>
    <w:rsid w:val="009B6D62"/>
    <w:rsid w:val="009D2884"/>
    <w:rsid w:val="00A02B26"/>
    <w:rsid w:val="00A378DC"/>
    <w:rsid w:val="00A4366C"/>
    <w:rsid w:val="00B54221"/>
    <w:rsid w:val="00B96BE5"/>
    <w:rsid w:val="00C24B70"/>
    <w:rsid w:val="00C32622"/>
    <w:rsid w:val="00C3666B"/>
    <w:rsid w:val="00C64806"/>
    <w:rsid w:val="00CD79E4"/>
    <w:rsid w:val="00D41DEA"/>
    <w:rsid w:val="00DD461B"/>
    <w:rsid w:val="00DF2649"/>
    <w:rsid w:val="00E71D05"/>
    <w:rsid w:val="00F01FA8"/>
    <w:rsid w:val="00F55A37"/>
    <w:rsid w:val="00F63D33"/>
    <w:rsid w:val="00F8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FDEA92D-EDEF-4A22-8ACA-82B907F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82A"/>
  </w:style>
  <w:style w:type="paragraph" w:styleId="Titre3">
    <w:name w:val="heading 3"/>
    <w:basedOn w:val="Normal"/>
    <w:link w:val="Titre3Car"/>
    <w:uiPriority w:val="9"/>
    <w:qFormat/>
    <w:rsid w:val="00556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D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79E4"/>
  </w:style>
  <w:style w:type="paragraph" w:styleId="Pieddepage">
    <w:name w:val="footer"/>
    <w:basedOn w:val="Normal"/>
    <w:link w:val="PieddepageCar"/>
    <w:uiPriority w:val="99"/>
    <w:semiHidden/>
    <w:unhideWhenUsed/>
    <w:rsid w:val="00CD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79E4"/>
  </w:style>
  <w:style w:type="paragraph" w:styleId="Paragraphedeliste">
    <w:name w:val="List Paragraph"/>
    <w:basedOn w:val="Normal"/>
    <w:uiPriority w:val="34"/>
    <w:qFormat/>
    <w:rsid w:val="00CD79E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56B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556B0D"/>
    <w:rPr>
      <w:i/>
      <w:iCs/>
    </w:rPr>
  </w:style>
  <w:style w:type="character" w:styleId="lev">
    <w:name w:val="Strong"/>
    <w:basedOn w:val="Policepardfaut"/>
    <w:uiPriority w:val="22"/>
    <w:qFormat/>
    <w:rsid w:val="00556B0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8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4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28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28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2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1BB9-F797-4059-B4A2-F5E057AD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5</Pages>
  <Words>1171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2021-02-09T14:20:00Z</dcterms:created>
  <dcterms:modified xsi:type="dcterms:W3CDTF">2024-03-21T09:37:00Z</dcterms:modified>
</cp:coreProperties>
</file>