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B74" w:rsidRDefault="00F70B74" w:rsidP="00F70B74">
      <w:pPr>
        <w:rPr>
          <w:rFonts w:asciiTheme="majorBidi" w:hAnsiTheme="majorBidi" w:cstheme="majorBidi"/>
          <w:b/>
          <w:bCs/>
          <w:sz w:val="36"/>
          <w:szCs w:val="36"/>
        </w:rPr>
      </w:pPr>
    </w:p>
    <w:p w:rsidR="00F70B74" w:rsidRPr="00BA3851" w:rsidRDefault="00F70B74" w:rsidP="00F70B74">
      <w:pPr>
        <w:shd w:val="clear" w:color="auto" w:fill="F8F8F8"/>
        <w:spacing w:after="0" w:line="240" w:lineRule="auto"/>
        <w:ind w:left="-284" w:right="-426"/>
        <w:jc w:val="center"/>
        <w:outlineLvl w:val="0"/>
        <w:rPr>
          <w:rFonts w:asciiTheme="majorBidi" w:eastAsia="Times New Roman" w:hAnsiTheme="majorBidi" w:cstheme="majorBidi"/>
          <w:b/>
          <w:bCs/>
          <w:color w:val="000000"/>
          <w:kern w:val="36"/>
          <w:sz w:val="32"/>
          <w:szCs w:val="32"/>
        </w:rPr>
      </w:pPr>
      <w:r w:rsidRPr="00BA3851">
        <w:rPr>
          <w:rFonts w:asciiTheme="majorBidi" w:eastAsia="Times New Roman" w:hAnsiTheme="majorBidi" w:cstheme="majorBidi"/>
          <w:b/>
          <w:bCs/>
          <w:noProof/>
          <w:sz w:val="24"/>
          <w:szCs w:val="24"/>
        </w:rPr>
        <w:drawing>
          <wp:inline distT="0" distB="0" distL="0" distR="0">
            <wp:extent cx="2581275" cy="519592"/>
            <wp:effectExtent l="19050" t="0" r="0" b="0"/>
            <wp:docPr id="1" name="Image 1" descr="C:\Users\Yassine\Documents\Béjaïa symbo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sine\Documents\Béjaïa symbole.bmp"/>
                    <pic:cNvPicPr>
                      <a:picLocks noChangeAspect="1" noChangeArrowheads="1"/>
                    </pic:cNvPicPr>
                  </pic:nvPicPr>
                  <pic:blipFill>
                    <a:blip r:embed="rId7" cstate="print"/>
                    <a:srcRect/>
                    <a:stretch>
                      <a:fillRect/>
                    </a:stretch>
                  </pic:blipFill>
                  <pic:spPr bwMode="auto">
                    <a:xfrm>
                      <a:off x="0" y="0"/>
                      <a:ext cx="2598283" cy="523016"/>
                    </a:xfrm>
                    <a:prstGeom prst="rect">
                      <a:avLst/>
                    </a:prstGeom>
                    <a:noFill/>
                    <a:ln w="9525">
                      <a:noFill/>
                      <a:miter lim="800000"/>
                      <a:headEnd/>
                      <a:tailEnd/>
                    </a:ln>
                  </pic:spPr>
                </pic:pic>
              </a:graphicData>
            </a:graphic>
          </wp:inline>
        </w:drawing>
      </w:r>
    </w:p>
    <w:p w:rsidR="00F70B74" w:rsidRPr="00BA3851" w:rsidRDefault="00F70B74" w:rsidP="00F70B74">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Université de Bejaia </w:t>
      </w:r>
    </w:p>
    <w:p w:rsidR="00F70B74" w:rsidRPr="00BA3851" w:rsidRDefault="00F70B74" w:rsidP="00F70B74">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Faculté des sciences sociales et humaines </w:t>
      </w:r>
    </w:p>
    <w:p w:rsidR="00F70B74" w:rsidRPr="00BA3851" w:rsidRDefault="00F70B74" w:rsidP="00F70B74">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Département </w:t>
      </w:r>
      <w:r>
        <w:rPr>
          <w:rFonts w:asciiTheme="majorBidi" w:eastAsia="Times New Roman" w:hAnsiTheme="majorBidi" w:cstheme="majorBidi"/>
          <w:b/>
          <w:bCs/>
          <w:color w:val="000000"/>
          <w:kern w:val="36"/>
          <w:sz w:val="28"/>
          <w:szCs w:val="28"/>
        </w:rPr>
        <w:t xml:space="preserve">d’Histoire et Archéologie. </w:t>
      </w:r>
      <w:r w:rsidRPr="00BA3851">
        <w:rPr>
          <w:rFonts w:asciiTheme="majorBidi" w:eastAsia="Times New Roman" w:hAnsiTheme="majorBidi" w:cstheme="majorBidi"/>
          <w:b/>
          <w:bCs/>
          <w:color w:val="000000"/>
          <w:kern w:val="36"/>
          <w:sz w:val="28"/>
          <w:szCs w:val="28"/>
        </w:rPr>
        <w:t xml:space="preserve"> </w:t>
      </w:r>
    </w:p>
    <w:p w:rsidR="00F70B74" w:rsidRPr="00BA3851" w:rsidRDefault="00F70B74" w:rsidP="00F70B74">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Niveau 2 </w:t>
      </w:r>
      <w:r w:rsidRPr="00BA3851">
        <w:rPr>
          <w:rFonts w:asciiTheme="majorBidi" w:eastAsia="Times New Roman" w:hAnsiTheme="majorBidi" w:cstheme="majorBidi"/>
          <w:b/>
          <w:bCs/>
          <w:color w:val="000000"/>
          <w:kern w:val="36"/>
          <w:sz w:val="28"/>
          <w:szCs w:val="28"/>
          <w:vertAlign w:val="superscript"/>
        </w:rPr>
        <w:t>éme</w:t>
      </w:r>
      <w:r w:rsidRPr="00BA3851">
        <w:rPr>
          <w:rFonts w:asciiTheme="majorBidi" w:eastAsia="Times New Roman" w:hAnsiTheme="majorBidi" w:cstheme="majorBidi"/>
          <w:b/>
          <w:bCs/>
          <w:color w:val="000000"/>
          <w:kern w:val="36"/>
          <w:sz w:val="28"/>
          <w:szCs w:val="28"/>
        </w:rPr>
        <w:t xml:space="preserve"> année Histoire  </w:t>
      </w:r>
    </w:p>
    <w:p w:rsidR="00F70B74" w:rsidRPr="00BA3851" w:rsidRDefault="00F70B74" w:rsidP="00F70B74">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Module : </w:t>
      </w:r>
      <w:r>
        <w:rPr>
          <w:rFonts w:asciiTheme="majorBidi" w:eastAsia="Times New Roman" w:hAnsiTheme="majorBidi" w:cstheme="majorBidi"/>
          <w:b/>
          <w:bCs/>
          <w:color w:val="000000"/>
          <w:kern w:val="36"/>
          <w:sz w:val="28"/>
          <w:szCs w:val="28"/>
        </w:rPr>
        <w:t>Philosophie de l’Histoire</w:t>
      </w:r>
    </w:p>
    <w:p w:rsidR="00F70B74" w:rsidRPr="00BA3851" w:rsidRDefault="00F70B74" w:rsidP="00F70B74">
      <w:pPr>
        <w:shd w:val="clear" w:color="auto" w:fill="F8F8F8"/>
        <w:tabs>
          <w:tab w:val="left" w:pos="2565"/>
        </w:tabs>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Mahrez</w:t>
      </w:r>
      <w:r w:rsidRPr="00BA3851">
        <w:rPr>
          <w:rFonts w:asciiTheme="majorBidi" w:eastAsia="Times New Roman" w:hAnsiTheme="majorBidi" w:cstheme="majorBidi"/>
          <w:b/>
          <w:bCs/>
          <w:color w:val="000000"/>
          <w:kern w:val="36"/>
          <w:sz w:val="28"/>
          <w:szCs w:val="28"/>
          <w:rtl/>
        </w:rPr>
        <w:t xml:space="preserve"> </w:t>
      </w:r>
      <w:r w:rsidRPr="00BA3851">
        <w:rPr>
          <w:rFonts w:asciiTheme="majorBidi" w:eastAsia="Times New Roman" w:hAnsiTheme="majorBidi" w:cstheme="majorBidi"/>
          <w:b/>
          <w:bCs/>
          <w:color w:val="000000"/>
          <w:kern w:val="36"/>
          <w:sz w:val="28"/>
          <w:szCs w:val="28"/>
        </w:rPr>
        <w:t xml:space="preserve"> BOUICH </w:t>
      </w:r>
      <w:r w:rsidRPr="00BA3851">
        <w:rPr>
          <w:rFonts w:asciiTheme="majorBidi" w:eastAsia="Times New Roman" w:hAnsiTheme="majorBidi" w:cstheme="majorBidi"/>
          <w:b/>
          <w:bCs/>
          <w:color w:val="000000"/>
          <w:kern w:val="36"/>
          <w:sz w:val="28"/>
          <w:szCs w:val="28"/>
        </w:rPr>
        <w:tab/>
      </w:r>
    </w:p>
    <w:p w:rsidR="00F70B74" w:rsidRPr="00BA3851" w:rsidRDefault="00F70B74" w:rsidP="00F70B74">
      <w:pPr>
        <w:shd w:val="clear" w:color="auto" w:fill="F8F8F8"/>
        <w:tabs>
          <w:tab w:val="left" w:pos="3975"/>
        </w:tabs>
        <w:spacing w:after="0" w:line="240" w:lineRule="auto"/>
        <w:ind w:left="-284" w:right="-426"/>
        <w:jc w:val="both"/>
        <w:outlineLvl w:val="0"/>
        <w:rPr>
          <w:rFonts w:asciiTheme="majorBidi" w:eastAsia="Times New Roman" w:hAnsiTheme="majorBidi" w:cstheme="majorBidi"/>
          <w:color w:val="000000"/>
          <w:kern w:val="36"/>
          <w:sz w:val="28"/>
          <w:szCs w:val="28"/>
        </w:rPr>
      </w:pPr>
      <w:hyperlink r:id="rId8" w:history="1">
        <w:r w:rsidRPr="00252FF5">
          <w:rPr>
            <w:rStyle w:val="Lienhypertexte"/>
            <w:rFonts w:asciiTheme="majorBidi" w:eastAsia="Times New Roman" w:hAnsiTheme="majorBidi" w:cstheme="majorBidi"/>
            <w:kern w:val="36"/>
            <w:sz w:val="28"/>
            <w:szCs w:val="28"/>
          </w:rPr>
          <w:t>bouiche.mahrez@Univ-bejaia.dz</w:t>
        </w:r>
      </w:hyperlink>
    </w:p>
    <w:p w:rsidR="00F70B74" w:rsidRPr="00BA3851" w:rsidRDefault="00F70B74" w:rsidP="00F70B74">
      <w:pPr>
        <w:pBdr>
          <w:bottom w:val="single" w:sz="6" w:space="0" w:color="99BB22"/>
        </w:pBdr>
        <w:shd w:val="clear" w:color="auto" w:fill="FFFFFF"/>
        <w:spacing w:before="100" w:beforeAutospacing="1" w:after="0" w:line="240" w:lineRule="auto"/>
        <w:ind w:right="1"/>
        <w:outlineLvl w:val="2"/>
        <w:rPr>
          <w:rFonts w:asciiTheme="majorBidi" w:eastAsia="Times New Roman" w:hAnsiTheme="majorBidi" w:cstheme="majorBidi"/>
          <w:b/>
          <w:bCs/>
          <w:color w:val="000000"/>
          <w:spacing w:val="15"/>
          <w:sz w:val="28"/>
          <w:szCs w:val="28"/>
        </w:rPr>
      </w:pPr>
      <w:r w:rsidRPr="00BA3851">
        <w:rPr>
          <w:rFonts w:asciiTheme="majorBidi" w:hAnsiTheme="majorBidi" w:cstheme="majorBidi"/>
          <w:sz w:val="28"/>
          <w:szCs w:val="28"/>
          <w:lang w:bidi="ar-DZ"/>
        </w:rPr>
        <w:t xml:space="preserve">                               </w:t>
      </w:r>
    </w:p>
    <w:p w:rsidR="00F70B74" w:rsidRDefault="00F70B74" w:rsidP="00F70B74">
      <w:pPr>
        <w:pStyle w:val="Paragraphedeliste"/>
        <w:rPr>
          <w:rFonts w:asciiTheme="majorBidi" w:hAnsiTheme="majorBidi" w:cstheme="majorBidi"/>
          <w:b/>
          <w:bCs/>
          <w:sz w:val="36"/>
          <w:szCs w:val="36"/>
        </w:rPr>
      </w:pPr>
    </w:p>
    <w:p w:rsidR="00F70B74" w:rsidRDefault="00F70B74" w:rsidP="00F70B74">
      <w:pPr>
        <w:pStyle w:val="Paragraphedeliste"/>
        <w:rPr>
          <w:rFonts w:asciiTheme="majorBidi" w:hAnsiTheme="majorBidi" w:cstheme="majorBidi"/>
          <w:b/>
          <w:bCs/>
          <w:sz w:val="36"/>
          <w:szCs w:val="36"/>
        </w:rPr>
      </w:pPr>
    </w:p>
    <w:p w:rsidR="00F70B74" w:rsidRDefault="00F70B74" w:rsidP="00F70B74">
      <w:pPr>
        <w:pStyle w:val="Paragraphedeliste"/>
        <w:rPr>
          <w:rFonts w:asciiTheme="majorBidi" w:hAnsiTheme="majorBidi" w:cstheme="majorBidi"/>
          <w:b/>
          <w:bCs/>
          <w:sz w:val="36"/>
          <w:szCs w:val="36"/>
        </w:rPr>
      </w:pPr>
      <w:r w:rsidRPr="00574A6B">
        <w:rPr>
          <w:rFonts w:asciiTheme="majorBidi" w:hAnsiTheme="majorBidi" w:cstheme="majorBidi"/>
          <w:b/>
          <w:bCs/>
          <w:sz w:val="36"/>
          <w:szCs w:val="36"/>
        </w:rPr>
        <w:t xml:space="preserve">La théorie de la civilisation </w:t>
      </w:r>
      <w:r>
        <w:rPr>
          <w:rFonts w:asciiTheme="majorBidi" w:hAnsiTheme="majorBidi" w:cstheme="majorBidi"/>
          <w:b/>
          <w:bCs/>
          <w:sz w:val="36"/>
          <w:szCs w:val="36"/>
        </w:rPr>
        <w:t xml:space="preserve">chez </w:t>
      </w:r>
      <w:r w:rsidRPr="00574A6B">
        <w:rPr>
          <w:rFonts w:asciiTheme="majorBidi" w:hAnsiTheme="majorBidi" w:cstheme="majorBidi"/>
          <w:b/>
          <w:bCs/>
          <w:sz w:val="36"/>
          <w:szCs w:val="36"/>
        </w:rPr>
        <w:t xml:space="preserve">Ibn Khaldûn </w:t>
      </w:r>
      <w:r>
        <w:rPr>
          <w:rStyle w:val="Appelnotedebasdep"/>
          <w:rFonts w:asciiTheme="majorBidi" w:hAnsiTheme="majorBidi" w:cstheme="majorBidi"/>
          <w:b/>
          <w:bCs/>
          <w:sz w:val="36"/>
          <w:szCs w:val="36"/>
        </w:rPr>
        <w:footnoteReference w:id="2"/>
      </w:r>
    </w:p>
    <w:p w:rsidR="00F70B74" w:rsidRDefault="00F70B74" w:rsidP="00F70B74">
      <w:pPr>
        <w:ind w:left="360" w:firstLine="348"/>
      </w:pPr>
      <w:r>
        <w:t xml:space="preserve">La théorie de la civilisation d’Ibn Khaldûn est-elle universalisable ? Par </w:t>
      </w:r>
      <w:r w:rsidRPr="00826D33">
        <w:t>CHEDDADI Abdesselam</w:t>
      </w:r>
      <w:r>
        <w:t xml:space="preserve"> </w:t>
      </w:r>
      <w:r w:rsidRPr="00826D33">
        <w:t>https://esprit.presse.fr/article/cheddadi-abdesselam/la-theorie-de-la-civilisation-d-ibn-khaldun-est-elle-universalisable-14766</w:t>
      </w:r>
    </w:p>
    <w:p w:rsidR="00F70B74" w:rsidRPr="00574A6B" w:rsidRDefault="00F70B74" w:rsidP="00F70B74">
      <w:pPr>
        <w:pStyle w:val="Paragraphedeliste"/>
        <w:rPr>
          <w:rFonts w:asciiTheme="majorBidi" w:hAnsiTheme="majorBidi" w:cstheme="majorBidi"/>
          <w:b/>
          <w:bCs/>
          <w:sz w:val="36"/>
          <w:szCs w:val="36"/>
        </w:rPr>
      </w:pPr>
    </w:p>
    <w:p w:rsidR="00F70B74" w:rsidRPr="00574A6B" w:rsidRDefault="00F70B74" w:rsidP="00F70B74">
      <w:pPr>
        <w:spacing w:before="100" w:beforeAutospacing="1" w:after="100" w:afterAutospacing="1"/>
        <w:ind w:firstLine="708"/>
        <w:jc w:val="both"/>
        <w:rPr>
          <w:rFonts w:asciiTheme="majorBidi" w:eastAsia="Times New Roman" w:hAnsiTheme="majorBidi" w:cstheme="majorBidi"/>
          <w:sz w:val="32"/>
          <w:szCs w:val="32"/>
        </w:rPr>
      </w:pPr>
      <w:r w:rsidRPr="00574A6B">
        <w:rPr>
          <w:rFonts w:asciiTheme="majorBidi" w:eastAsia="Times New Roman" w:hAnsiTheme="majorBidi" w:cstheme="majorBidi"/>
          <w:sz w:val="32"/>
          <w:szCs w:val="32"/>
        </w:rPr>
        <w:t xml:space="preserve">Ibn Khaldûn pose à la base de sa théorie de la civilisation deux </w:t>
      </w:r>
      <w:r w:rsidRPr="00574A6B">
        <w:rPr>
          <w:rFonts w:asciiTheme="majorBidi" w:eastAsia="Times New Roman" w:hAnsiTheme="majorBidi" w:cstheme="majorBidi"/>
          <w:i/>
          <w:iCs/>
          <w:sz w:val="32"/>
          <w:szCs w:val="32"/>
        </w:rPr>
        <w:t>a priori</w:t>
      </w:r>
      <w:r w:rsidRPr="00574A6B">
        <w:rPr>
          <w:rFonts w:asciiTheme="majorBidi" w:eastAsia="Times New Roman" w:hAnsiTheme="majorBidi" w:cstheme="majorBidi"/>
          <w:sz w:val="32"/>
          <w:szCs w:val="32"/>
        </w:rPr>
        <w:t xml:space="preserve"> philosophiques :</w:t>
      </w:r>
    </w:p>
    <w:p w:rsidR="00F70B74" w:rsidRPr="00574A6B" w:rsidRDefault="00F70B74" w:rsidP="00F70B74">
      <w:pPr>
        <w:spacing w:before="100" w:beforeAutospacing="1" w:after="100" w:afterAutospacing="1"/>
        <w:ind w:firstLine="708"/>
        <w:jc w:val="both"/>
        <w:rPr>
          <w:rFonts w:asciiTheme="majorBidi" w:eastAsia="Times New Roman" w:hAnsiTheme="majorBidi" w:cstheme="majorBidi"/>
          <w:sz w:val="32"/>
          <w:szCs w:val="32"/>
        </w:rPr>
      </w:pPr>
      <w:r w:rsidRPr="005D1488">
        <w:rPr>
          <w:rFonts w:asciiTheme="majorBidi" w:eastAsia="Times New Roman" w:hAnsiTheme="majorBidi" w:cstheme="majorBidi"/>
          <w:sz w:val="32"/>
          <w:szCs w:val="32"/>
        </w:rPr>
        <w:t>La</w:t>
      </w:r>
      <w:r w:rsidRPr="00574A6B">
        <w:rPr>
          <w:rFonts w:asciiTheme="majorBidi" w:eastAsia="Times New Roman" w:hAnsiTheme="majorBidi" w:cstheme="majorBidi"/>
          <w:sz w:val="32"/>
          <w:szCs w:val="32"/>
        </w:rPr>
        <w:t xml:space="preserve"> société est nécessaire à l’homme ; autrement dit, l’existence de l’homme et, par conséquent, toute forme de civilisation humaine, n’est possible que dans un cadre social, qu’au sein d’une société qui suppose une division du travail et une coopération entre les hommes. Il ne conçoit donc pas, contrairement aux philosophes politiques modernes, un état de nature antérieur à la société. Cette proposition, inspirée de la tradition philosophique gréco-arabe, se démontre selon lui logiquement, et non historiquement. Elle constitue le premier pilier de son interprétation de la civilisation humaine ;</w:t>
      </w:r>
    </w:p>
    <w:p w:rsidR="00F70B74" w:rsidRPr="005D1488" w:rsidRDefault="00F70B74" w:rsidP="00F70B74">
      <w:pPr>
        <w:spacing w:before="100" w:beforeAutospacing="1" w:after="100" w:afterAutospacing="1"/>
        <w:ind w:firstLine="708"/>
        <w:jc w:val="both"/>
        <w:rPr>
          <w:rFonts w:asciiTheme="majorBidi" w:eastAsia="Times New Roman" w:hAnsiTheme="majorBidi" w:cstheme="majorBidi"/>
          <w:sz w:val="32"/>
          <w:szCs w:val="32"/>
        </w:rPr>
      </w:pPr>
      <w:r w:rsidRPr="005D1488">
        <w:rPr>
          <w:rFonts w:asciiTheme="majorBidi" w:eastAsia="Times New Roman" w:hAnsiTheme="majorBidi" w:cstheme="majorBidi"/>
          <w:sz w:val="32"/>
          <w:szCs w:val="32"/>
        </w:rPr>
        <w:lastRenderedPageBreak/>
        <w:t>Mais</w:t>
      </w:r>
      <w:r w:rsidRPr="00574A6B">
        <w:rPr>
          <w:rFonts w:asciiTheme="majorBidi" w:eastAsia="Times New Roman" w:hAnsiTheme="majorBidi" w:cstheme="majorBidi"/>
          <w:sz w:val="32"/>
          <w:szCs w:val="32"/>
        </w:rPr>
        <w:t xml:space="preserve"> étant donné la nature égoïste et agressive des hommes, la société vivrait dans un chaos perpétuel si elle n’était pas régie par une autorité de contrainte, par un pouvoir coercitif qui oblige les hommes à se plier à des règles et à des lois qui leur permettent de vivre en commun. Ainsi, la société et le pouvoir, entendus comme des concepts au sens le plus abstrait, constituent pour Ibn Khaldûn les deux conditions </w:t>
      </w:r>
      <w:r w:rsidRPr="00574A6B">
        <w:rPr>
          <w:rFonts w:asciiTheme="majorBidi" w:eastAsia="Times New Roman" w:hAnsiTheme="majorBidi" w:cstheme="majorBidi"/>
          <w:i/>
          <w:iCs/>
          <w:sz w:val="32"/>
          <w:szCs w:val="32"/>
        </w:rPr>
        <w:t>a priori</w:t>
      </w:r>
      <w:r w:rsidRPr="00574A6B">
        <w:rPr>
          <w:rFonts w:asciiTheme="majorBidi" w:eastAsia="Times New Roman" w:hAnsiTheme="majorBidi" w:cstheme="majorBidi"/>
          <w:sz w:val="32"/>
          <w:szCs w:val="32"/>
        </w:rPr>
        <w:t xml:space="preserve"> de la civilisation.</w:t>
      </w:r>
    </w:p>
    <w:p w:rsidR="00F70B74" w:rsidRPr="005D1488" w:rsidRDefault="00F70B74" w:rsidP="00F70B74">
      <w:pPr>
        <w:pStyle w:val="alinea"/>
        <w:spacing w:line="276" w:lineRule="auto"/>
        <w:ind w:firstLine="708"/>
        <w:jc w:val="both"/>
        <w:rPr>
          <w:rFonts w:asciiTheme="majorBidi" w:hAnsiTheme="majorBidi" w:cstheme="majorBidi"/>
          <w:sz w:val="32"/>
          <w:szCs w:val="32"/>
        </w:rPr>
      </w:pPr>
      <w:r w:rsidRPr="005D1488">
        <w:rPr>
          <w:rFonts w:asciiTheme="majorBidi" w:hAnsiTheme="majorBidi" w:cstheme="majorBidi"/>
          <w:sz w:val="32"/>
          <w:szCs w:val="32"/>
        </w:rPr>
        <w:t>La dynamique de l’histoire est d’abord infléchie par le socle quasi immobile des diverses manifestations de la civilisation en général. S’il y a progrès, il est imperceptible, se produisant au cours de longues périodes qui se comptent en siècles et en millénaires ; le progrès ne peut apparaître qu’à l’œil scrutateur de l’observateur avisé. Cependant, à un autre niveau, plus palpable et plus rapide, l’histoire est mue par les péripéties du pouvoir et de la formation des empires. C’est surtout ce deuxième niveau qui retient l’attention d’Ibn Khaldûn.</w:t>
      </w:r>
    </w:p>
    <w:p w:rsidR="00F70B74" w:rsidRPr="005D1488" w:rsidRDefault="00F70B74" w:rsidP="00F70B74">
      <w:pPr>
        <w:pStyle w:val="alinea"/>
        <w:spacing w:line="276" w:lineRule="auto"/>
        <w:ind w:firstLine="708"/>
        <w:jc w:val="both"/>
        <w:rPr>
          <w:rFonts w:asciiTheme="majorBidi" w:hAnsiTheme="majorBidi" w:cstheme="majorBidi"/>
          <w:sz w:val="32"/>
          <w:szCs w:val="32"/>
        </w:rPr>
      </w:pPr>
      <w:r w:rsidRPr="005D1488">
        <w:rPr>
          <w:rFonts w:asciiTheme="majorBidi" w:hAnsiTheme="majorBidi" w:cstheme="majorBidi"/>
          <w:sz w:val="32"/>
          <w:szCs w:val="32"/>
        </w:rPr>
        <w:t>Pour expliquer les changements qui interviennent suivant des cycles relativement rapides et réguliers, il échafaude la thèse d’une double polarité de la civilisation. Depuis toujours, deux tendances guideraient l’humanité : dans l’une, les hommes se contentent du nécessaire dans tout ce qui concerne leur vie matérielle, leur organisation sociale et leurs activités culturelles. Dans l’autre, ils recherchent le superflu et le luxe, développent les sciences et les techniques et édifient des bourgades et de grandes cités.</w:t>
      </w:r>
    </w:p>
    <w:p w:rsidR="00F70B74" w:rsidRPr="005D1488" w:rsidRDefault="00F70B74" w:rsidP="00F70B74">
      <w:pPr>
        <w:pStyle w:val="alinea"/>
        <w:spacing w:line="276" w:lineRule="auto"/>
        <w:ind w:firstLine="708"/>
        <w:jc w:val="both"/>
        <w:rPr>
          <w:rFonts w:asciiTheme="majorBidi" w:hAnsiTheme="majorBidi" w:cstheme="majorBidi"/>
          <w:sz w:val="32"/>
          <w:szCs w:val="32"/>
        </w:rPr>
      </w:pPr>
      <w:r w:rsidRPr="005D1488">
        <w:rPr>
          <w:rFonts w:asciiTheme="majorBidi" w:hAnsiTheme="majorBidi" w:cstheme="majorBidi"/>
          <w:sz w:val="32"/>
          <w:szCs w:val="32"/>
        </w:rPr>
        <w:t xml:space="preserve">La première tendance se cristallise dans ce qu’il appelle la </w:t>
      </w:r>
      <w:r w:rsidRPr="005D1488">
        <w:rPr>
          <w:rFonts w:asciiTheme="majorBidi" w:hAnsiTheme="majorBidi" w:cstheme="majorBidi"/>
          <w:i/>
          <w:iCs/>
          <w:sz w:val="32"/>
          <w:szCs w:val="32"/>
        </w:rPr>
        <w:t>badâwa</w:t>
      </w:r>
      <w:r w:rsidRPr="005D1488">
        <w:rPr>
          <w:rFonts w:asciiTheme="majorBidi" w:hAnsiTheme="majorBidi" w:cstheme="majorBidi"/>
          <w:sz w:val="32"/>
          <w:szCs w:val="32"/>
        </w:rPr>
        <w:t>, un terme qu’il n’est pas exact de traduire par « vie au désert » (</w:t>
      </w:r>
      <w:r w:rsidRPr="005D1488">
        <w:rPr>
          <w:rFonts w:asciiTheme="majorBidi" w:hAnsiTheme="majorBidi" w:cstheme="majorBidi"/>
          <w:i/>
          <w:iCs/>
          <w:sz w:val="32"/>
          <w:szCs w:val="32"/>
        </w:rPr>
        <w:t>desert life</w:t>
      </w:r>
      <w:r w:rsidRPr="005D1488">
        <w:rPr>
          <w:rFonts w:asciiTheme="majorBidi" w:hAnsiTheme="majorBidi" w:cstheme="majorBidi"/>
          <w:sz w:val="32"/>
          <w:szCs w:val="32"/>
        </w:rPr>
        <w:t xml:space="preserve">) comme le fait Franz Rosenthal, ni par « vie nomade » comme le fait Vincent Monteil. Il s’agit plus largement de la sphère des sociétés agro-pastorales, vivant de l’agriculture et de l’élevage dans le pays ouvert au-delà des zones urbaines. Cela comprend des populations sédentaires ou nomades, organisées socialement en familles et en tribus unies par un esprit de corps puissant. Politiquement, ce sont des chefferies plus ou moins </w:t>
      </w:r>
      <w:r w:rsidRPr="005D1488">
        <w:rPr>
          <w:rFonts w:asciiTheme="majorBidi" w:hAnsiTheme="majorBidi" w:cstheme="majorBidi"/>
          <w:sz w:val="32"/>
          <w:szCs w:val="32"/>
        </w:rPr>
        <w:lastRenderedPageBreak/>
        <w:t>égalitaires, dépendantes du pouvoir central ou complètement autonomes.</w:t>
      </w:r>
    </w:p>
    <w:p w:rsidR="00F70B74" w:rsidRPr="005D1488" w:rsidRDefault="00F70B74" w:rsidP="00F70B74">
      <w:pPr>
        <w:pStyle w:val="alinea"/>
        <w:spacing w:line="276" w:lineRule="auto"/>
        <w:ind w:firstLine="708"/>
        <w:jc w:val="both"/>
        <w:rPr>
          <w:rFonts w:asciiTheme="majorBidi" w:hAnsiTheme="majorBidi" w:cstheme="majorBidi"/>
          <w:sz w:val="32"/>
          <w:szCs w:val="32"/>
        </w:rPr>
      </w:pPr>
      <w:r w:rsidRPr="005D1488">
        <w:rPr>
          <w:rFonts w:asciiTheme="majorBidi" w:hAnsiTheme="majorBidi" w:cstheme="majorBidi"/>
          <w:sz w:val="32"/>
          <w:szCs w:val="32"/>
        </w:rPr>
        <w:t xml:space="preserve">La seconde tendance se cristallise dans la </w:t>
      </w:r>
      <w:r w:rsidRPr="005D1488">
        <w:rPr>
          <w:rFonts w:asciiTheme="majorBidi" w:hAnsiTheme="majorBidi" w:cstheme="majorBidi"/>
          <w:i/>
          <w:iCs/>
          <w:sz w:val="32"/>
          <w:szCs w:val="32"/>
        </w:rPr>
        <w:t>hadâra</w:t>
      </w:r>
      <w:r w:rsidRPr="005D1488">
        <w:rPr>
          <w:rFonts w:asciiTheme="majorBidi" w:hAnsiTheme="majorBidi" w:cstheme="majorBidi"/>
          <w:sz w:val="32"/>
          <w:szCs w:val="32"/>
        </w:rPr>
        <w:t>, qui désigne la sphère des sociétés urbaines. La population vit des produits de l’artisanat et du commerce dans des agglomérations plus ou moins étendues. L’organisation sociale prend la forme d’entités familiales atomisées ou faiblement unies, soumises à un pouvoir central qui lui est le plus souvent étranger.</w:t>
      </w:r>
    </w:p>
    <w:p w:rsidR="00F70B74" w:rsidRPr="005D1488" w:rsidRDefault="00F70B74" w:rsidP="00F70B74">
      <w:pPr>
        <w:pStyle w:val="alinea"/>
        <w:spacing w:line="276" w:lineRule="auto"/>
        <w:ind w:firstLine="708"/>
        <w:jc w:val="both"/>
        <w:rPr>
          <w:rFonts w:asciiTheme="majorBidi" w:hAnsiTheme="majorBidi" w:cstheme="majorBidi"/>
          <w:sz w:val="32"/>
          <w:szCs w:val="32"/>
        </w:rPr>
      </w:pPr>
      <w:r w:rsidRPr="005D1488">
        <w:rPr>
          <w:rFonts w:asciiTheme="majorBidi" w:hAnsiTheme="majorBidi" w:cstheme="majorBidi"/>
          <w:sz w:val="32"/>
          <w:szCs w:val="32"/>
        </w:rPr>
        <w:t xml:space="preserve">Ces deux pôles de la civilisation, </w:t>
      </w:r>
      <w:r w:rsidRPr="005D1488">
        <w:rPr>
          <w:rFonts w:asciiTheme="majorBidi" w:hAnsiTheme="majorBidi" w:cstheme="majorBidi"/>
          <w:i/>
          <w:iCs/>
          <w:sz w:val="32"/>
          <w:szCs w:val="32"/>
        </w:rPr>
        <w:t>badawî</w:t>
      </w:r>
      <w:r w:rsidRPr="005D1488">
        <w:rPr>
          <w:rFonts w:asciiTheme="majorBidi" w:hAnsiTheme="majorBidi" w:cstheme="majorBidi"/>
          <w:sz w:val="32"/>
          <w:szCs w:val="32"/>
        </w:rPr>
        <w:t xml:space="preserve"> et </w:t>
      </w:r>
      <w:r w:rsidRPr="005D1488">
        <w:rPr>
          <w:rFonts w:asciiTheme="majorBidi" w:hAnsiTheme="majorBidi" w:cstheme="majorBidi"/>
          <w:i/>
          <w:iCs/>
          <w:sz w:val="32"/>
          <w:szCs w:val="32"/>
        </w:rPr>
        <w:t>hadarî</w:t>
      </w:r>
      <w:r w:rsidRPr="005D1488">
        <w:rPr>
          <w:rFonts w:asciiTheme="majorBidi" w:hAnsiTheme="majorBidi" w:cstheme="majorBidi"/>
          <w:sz w:val="32"/>
          <w:szCs w:val="32"/>
        </w:rPr>
        <w:t>, rural et urbain, sont à la fois opposés et complémentaires : le pôle « rural » simple et premier s’oppose au pôle « urbain », complexe et, logiquement et historiquement, second ; mais ils sont, dans le même temps, interdépendants sur les plans démographique, économique et surtout politique. Coexistant depuis toujours et ne pouvant aller l’un sans l’autre, ils sont conçus par Ibn Khaldûn comme formant un système unique de la civilisation.</w:t>
      </w:r>
    </w:p>
    <w:p w:rsidR="00F70B74" w:rsidRPr="005D1488" w:rsidRDefault="00F70B74" w:rsidP="00F70B74">
      <w:pPr>
        <w:pStyle w:val="alinea"/>
        <w:spacing w:line="276" w:lineRule="auto"/>
        <w:ind w:firstLine="708"/>
        <w:jc w:val="both"/>
        <w:rPr>
          <w:rFonts w:asciiTheme="majorBidi" w:hAnsiTheme="majorBidi" w:cstheme="majorBidi"/>
          <w:sz w:val="32"/>
          <w:szCs w:val="32"/>
        </w:rPr>
      </w:pPr>
      <w:r w:rsidRPr="005D1488">
        <w:rPr>
          <w:rFonts w:asciiTheme="majorBidi" w:hAnsiTheme="majorBidi" w:cstheme="majorBidi"/>
          <w:sz w:val="32"/>
          <w:szCs w:val="32"/>
        </w:rPr>
        <w:t xml:space="preserve">Contrairement à une tradition qu’on retrouve aussi bien dans l’Antiquité gréco-romaine que dans la tradition iranienne, les montagnards et les nomades – qu’Ibn Khaldûn associe dans la même catégorie des </w:t>
      </w:r>
      <w:r w:rsidRPr="005D1488">
        <w:rPr>
          <w:rFonts w:asciiTheme="majorBidi" w:hAnsiTheme="majorBidi" w:cstheme="majorBidi"/>
          <w:i/>
          <w:iCs/>
          <w:sz w:val="32"/>
          <w:szCs w:val="32"/>
        </w:rPr>
        <w:t>badw</w:t>
      </w:r>
      <w:r w:rsidRPr="005D1488">
        <w:rPr>
          <w:rFonts w:asciiTheme="majorBidi" w:hAnsiTheme="majorBidi" w:cstheme="majorBidi"/>
          <w:sz w:val="32"/>
          <w:szCs w:val="32"/>
        </w:rPr>
        <w:t xml:space="preserve"> – ont la même dignité que les citadins, les </w:t>
      </w:r>
      <w:r w:rsidRPr="005D1488">
        <w:rPr>
          <w:rFonts w:asciiTheme="majorBidi" w:hAnsiTheme="majorBidi" w:cstheme="majorBidi"/>
          <w:i/>
          <w:iCs/>
          <w:sz w:val="32"/>
          <w:szCs w:val="32"/>
        </w:rPr>
        <w:t>hadar</w:t>
      </w:r>
      <w:r w:rsidRPr="005D1488">
        <w:rPr>
          <w:rFonts w:asciiTheme="majorBidi" w:hAnsiTheme="majorBidi" w:cstheme="majorBidi"/>
          <w:sz w:val="32"/>
          <w:szCs w:val="32"/>
        </w:rPr>
        <w:t xml:space="preserve">. La supériorité des </w:t>
      </w:r>
      <w:r w:rsidRPr="005D1488">
        <w:rPr>
          <w:rFonts w:asciiTheme="majorBidi" w:hAnsiTheme="majorBidi" w:cstheme="majorBidi"/>
          <w:i/>
          <w:iCs/>
          <w:sz w:val="32"/>
          <w:szCs w:val="32"/>
        </w:rPr>
        <w:t>hadar</w:t>
      </w:r>
      <w:r w:rsidRPr="005D1488">
        <w:rPr>
          <w:rFonts w:asciiTheme="majorBidi" w:hAnsiTheme="majorBidi" w:cstheme="majorBidi"/>
          <w:sz w:val="32"/>
          <w:szCs w:val="32"/>
        </w:rPr>
        <w:t xml:space="preserve"> sur le plan de la civilisation est nette : la civilisation urbaine, pense Ibn Khaldûn, est la fin de la civilisation en général. C’est en elle seulement que se réalisent les potentialités scientifiques et techniques de l’esprit humain ; c’est en elle également que peut s’épanouir le raffinement des arts et des lettres, ainsi que celui des comportements et des mœurs. Cependant, il y a un revers de la médaille : le luxe, que favorise le raffinement, entraîne la mollesse et la corruption du pouvoir et, par suite, la mort de la civilisation urbaine elle-même.</w:t>
      </w:r>
    </w:p>
    <w:p w:rsidR="00F70B74" w:rsidRPr="005D1488" w:rsidRDefault="00F70B74" w:rsidP="00F70B74">
      <w:pPr>
        <w:pStyle w:val="alinea"/>
        <w:spacing w:line="276" w:lineRule="auto"/>
        <w:ind w:firstLine="708"/>
        <w:jc w:val="both"/>
        <w:rPr>
          <w:rFonts w:asciiTheme="majorBidi" w:hAnsiTheme="majorBidi" w:cstheme="majorBidi"/>
          <w:sz w:val="32"/>
          <w:szCs w:val="32"/>
        </w:rPr>
      </w:pPr>
      <w:r w:rsidRPr="005D1488">
        <w:rPr>
          <w:rFonts w:asciiTheme="majorBidi" w:hAnsiTheme="majorBidi" w:cstheme="majorBidi"/>
          <w:sz w:val="32"/>
          <w:szCs w:val="32"/>
        </w:rPr>
        <w:t xml:space="preserve">De son côté, la </w:t>
      </w:r>
      <w:r w:rsidRPr="005D1488">
        <w:rPr>
          <w:rFonts w:asciiTheme="majorBidi" w:hAnsiTheme="majorBidi" w:cstheme="majorBidi"/>
          <w:i/>
          <w:iCs/>
          <w:sz w:val="32"/>
          <w:szCs w:val="32"/>
        </w:rPr>
        <w:t>badâwa</w:t>
      </w:r>
      <w:r w:rsidRPr="005D1488">
        <w:rPr>
          <w:rFonts w:asciiTheme="majorBidi" w:hAnsiTheme="majorBidi" w:cstheme="majorBidi"/>
          <w:sz w:val="32"/>
          <w:szCs w:val="32"/>
        </w:rPr>
        <w:t xml:space="preserve">, l’ordre rural, possède des avantages dont est démunie la </w:t>
      </w:r>
      <w:r w:rsidRPr="005D1488">
        <w:rPr>
          <w:rFonts w:asciiTheme="majorBidi" w:hAnsiTheme="majorBidi" w:cstheme="majorBidi"/>
          <w:i/>
          <w:iCs/>
          <w:sz w:val="32"/>
          <w:szCs w:val="32"/>
        </w:rPr>
        <w:t>hadâra</w:t>
      </w:r>
      <w:r w:rsidRPr="005D1488">
        <w:rPr>
          <w:rFonts w:asciiTheme="majorBidi" w:hAnsiTheme="majorBidi" w:cstheme="majorBidi"/>
          <w:sz w:val="32"/>
          <w:szCs w:val="32"/>
        </w:rPr>
        <w:t xml:space="preserve">. Les mœurs de ses habitants, plus près de la nature et fondées sur des besoins plus simples et plus limités, sont plus saines et ne donnent pas prise à la corruption par le luxe, qui y est </w:t>
      </w:r>
      <w:r w:rsidRPr="005D1488">
        <w:rPr>
          <w:rFonts w:asciiTheme="majorBidi" w:hAnsiTheme="majorBidi" w:cstheme="majorBidi"/>
          <w:sz w:val="32"/>
          <w:szCs w:val="32"/>
        </w:rPr>
        <w:lastRenderedPageBreak/>
        <w:t>inconnu. Au contraire, les conditions de la vie à la campagne exigent le courage et le port des armes en permanence ; cela fait de la société rurale une réserve de guerriers valeureux pouvant intervenir chaque fois que l’occasion se présente.</w:t>
      </w:r>
    </w:p>
    <w:p w:rsidR="00F70B74" w:rsidRPr="005D1488" w:rsidRDefault="00F70B74" w:rsidP="00F70B74">
      <w:pPr>
        <w:pStyle w:val="alinea"/>
        <w:spacing w:line="276" w:lineRule="auto"/>
        <w:ind w:firstLine="708"/>
        <w:jc w:val="both"/>
        <w:rPr>
          <w:rFonts w:asciiTheme="majorBidi" w:hAnsiTheme="majorBidi" w:cstheme="majorBidi"/>
          <w:sz w:val="32"/>
          <w:szCs w:val="32"/>
        </w:rPr>
      </w:pPr>
      <w:r w:rsidRPr="005D1488">
        <w:rPr>
          <w:rFonts w:asciiTheme="majorBidi" w:hAnsiTheme="majorBidi" w:cstheme="majorBidi"/>
          <w:sz w:val="32"/>
          <w:szCs w:val="32"/>
        </w:rPr>
        <w:t>Ce sont ces oppositions et ces décalages entre ordre urbain et ordre rural qui expliquent leur interdépendance et leur complémentarité et, du même coup, toute la dynamique de l’histoire. L’ordre urbain se caractérise par sa corruptibilité, son incapacité structurelle à se défendre contre l’ennemi extérieur et à assurer l’ordre intérieur et sa finitude à courte ou moyenne échéance. D’autre part, l’ordre rural représente un stade inachevé de la civilisation et est par conséquent nécessairement poussé vers la réalisation de la civilisation à son stade d’achèvement ; ses prédispositions guerrières et ses mœurs rigoureuses, qui le rendent apte à conquérir le pouvoir, créent les conditions objectives d’un cycle régulier de l’évolution historique, marquée par la formation et la chute des empires.</w:t>
      </w:r>
    </w:p>
    <w:p w:rsidR="00F70B74" w:rsidRPr="005D1488" w:rsidRDefault="00F70B74" w:rsidP="00F70B74">
      <w:pPr>
        <w:pStyle w:val="alinea"/>
        <w:spacing w:line="276" w:lineRule="auto"/>
        <w:ind w:firstLine="708"/>
        <w:jc w:val="both"/>
        <w:rPr>
          <w:rFonts w:asciiTheme="majorBidi" w:hAnsiTheme="majorBidi" w:cstheme="majorBidi"/>
          <w:sz w:val="32"/>
          <w:szCs w:val="32"/>
        </w:rPr>
      </w:pPr>
      <w:r w:rsidRPr="005D1488">
        <w:rPr>
          <w:rFonts w:asciiTheme="majorBidi" w:hAnsiTheme="majorBidi" w:cstheme="majorBidi"/>
          <w:sz w:val="32"/>
          <w:szCs w:val="32"/>
        </w:rPr>
        <w:t xml:space="preserve">Comment se constitue le pouvoir ? Comment, plus précisément, se forment les empires ? Pour répondre à ces questions, il faut s’arrêter un instant sur deux notions fondamentales de la théorie de la société d’Ibn Khaldûn : celles de </w:t>
      </w:r>
      <w:r w:rsidRPr="005D1488">
        <w:rPr>
          <w:rFonts w:asciiTheme="majorBidi" w:hAnsiTheme="majorBidi" w:cstheme="majorBidi"/>
          <w:i/>
          <w:iCs/>
          <w:sz w:val="32"/>
          <w:szCs w:val="32"/>
        </w:rPr>
        <w:t>umma</w:t>
      </w:r>
      <w:r w:rsidRPr="005D1488">
        <w:rPr>
          <w:rFonts w:asciiTheme="majorBidi" w:hAnsiTheme="majorBidi" w:cstheme="majorBidi"/>
          <w:sz w:val="32"/>
          <w:szCs w:val="32"/>
        </w:rPr>
        <w:t xml:space="preserve"> et de </w:t>
      </w:r>
      <w:r w:rsidRPr="005D1488">
        <w:rPr>
          <w:rFonts w:asciiTheme="majorBidi" w:hAnsiTheme="majorBidi" w:cstheme="majorBidi"/>
          <w:i/>
          <w:iCs/>
          <w:sz w:val="32"/>
          <w:szCs w:val="32"/>
        </w:rPr>
        <w:t>‘asabiyya</w:t>
      </w:r>
      <w:r w:rsidRPr="005D1488">
        <w:rPr>
          <w:rFonts w:asciiTheme="majorBidi" w:hAnsiTheme="majorBidi" w:cstheme="majorBidi"/>
          <w:sz w:val="32"/>
          <w:szCs w:val="32"/>
        </w:rPr>
        <w:t>.</w:t>
      </w:r>
    </w:p>
    <w:p w:rsidR="00F70B74" w:rsidRPr="005D1488" w:rsidRDefault="00F70B74" w:rsidP="00F70B74">
      <w:pPr>
        <w:pStyle w:val="alinea"/>
        <w:spacing w:line="276" w:lineRule="auto"/>
        <w:ind w:firstLine="708"/>
        <w:jc w:val="both"/>
        <w:rPr>
          <w:rFonts w:asciiTheme="majorBidi" w:hAnsiTheme="majorBidi" w:cstheme="majorBidi"/>
          <w:sz w:val="32"/>
          <w:szCs w:val="32"/>
        </w:rPr>
      </w:pPr>
      <w:r w:rsidRPr="005D1488">
        <w:rPr>
          <w:rFonts w:asciiTheme="majorBidi" w:hAnsiTheme="majorBidi" w:cstheme="majorBidi"/>
          <w:sz w:val="32"/>
          <w:szCs w:val="32"/>
        </w:rPr>
        <w:t xml:space="preserve">Le monde social d’Ibn Khaldûn est constitué de familles, de tribus et de nations, </w:t>
      </w:r>
      <w:r w:rsidRPr="005D1488">
        <w:rPr>
          <w:rFonts w:asciiTheme="majorBidi" w:hAnsiTheme="majorBidi" w:cstheme="majorBidi"/>
          <w:i/>
          <w:iCs/>
          <w:sz w:val="32"/>
          <w:szCs w:val="32"/>
        </w:rPr>
        <w:t>umam</w:t>
      </w:r>
      <w:r w:rsidRPr="005D1488">
        <w:rPr>
          <w:rFonts w:asciiTheme="majorBidi" w:hAnsiTheme="majorBidi" w:cstheme="majorBidi"/>
          <w:sz w:val="32"/>
          <w:szCs w:val="32"/>
        </w:rPr>
        <w:t xml:space="preserve">. La nation, </w:t>
      </w:r>
      <w:r w:rsidRPr="005D1488">
        <w:rPr>
          <w:rFonts w:asciiTheme="majorBidi" w:hAnsiTheme="majorBidi" w:cstheme="majorBidi"/>
          <w:i/>
          <w:iCs/>
          <w:sz w:val="32"/>
          <w:szCs w:val="32"/>
        </w:rPr>
        <w:t>umma</w:t>
      </w:r>
      <w:r w:rsidRPr="005D1488">
        <w:rPr>
          <w:rFonts w:asciiTheme="majorBidi" w:hAnsiTheme="majorBidi" w:cstheme="majorBidi"/>
          <w:sz w:val="32"/>
          <w:szCs w:val="32"/>
        </w:rPr>
        <w:t xml:space="preserve">, a chez lui le sens de l’« ethnos » grec ou de la « nation » biblique, c’est-à-dire un ensemble ethnique plus uni par la langue et la culture que par la race. Les nations qu’il considère sont celles des Arabes, des Berbères, des Kurdes, des Turcs, des Francs, des Noirs, des Byzantins, des Chinois et des Indiens pour la période islamique mais aussi des Hébreux, des anciens Égyptiens, des Babyloniens, des Perses, des Grecs et des Romains antérieurement à l’Islam. Ce qui caractérise toutes ces nations, c’est que, à un moment ou à un autre de leur histoire, elles ont constitué un empire, ou ont été sous la dépendance d’un empire. La nation représente donc pour Ibn Khaldûn le cadre naturel, le seul </w:t>
      </w:r>
      <w:r w:rsidRPr="005D1488">
        <w:rPr>
          <w:rFonts w:asciiTheme="majorBidi" w:hAnsiTheme="majorBidi" w:cstheme="majorBidi"/>
          <w:sz w:val="32"/>
          <w:szCs w:val="32"/>
        </w:rPr>
        <w:lastRenderedPageBreak/>
        <w:t>possible, de formation des empires, du pouvoir et de l’État sur une vaste échelle.</w:t>
      </w:r>
    </w:p>
    <w:p w:rsidR="00F70B74" w:rsidRPr="005D1488" w:rsidRDefault="00F70B74" w:rsidP="00F70B74">
      <w:pPr>
        <w:pStyle w:val="alinea"/>
        <w:spacing w:line="276" w:lineRule="auto"/>
        <w:ind w:firstLine="708"/>
        <w:jc w:val="both"/>
        <w:rPr>
          <w:rFonts w:asciiTheme="majorBidi" w:hAnsiTheme="majorBidi" w:cstheme="majorBidi"/>
          <w:sz w:val="32"/>
          <w:szCs w:val="32"/>
        </w:rPr>
      </w:pPr>
      <w:r w:rsidRPr="005D1488">
        <w:rPr>
          <w:rFonts w:asciiTheme="majorBidi" w:hAnsiTheme="majorBidi" w:cstheme="majorBidi"/>
          <w:sz w:val="32"/>
          <w:szCs w:val="32"/>
        </w:rPr>
        <w:t>À un niveau inférieur, comme celui de la tribu ou même de la famille, un pouvoir peut émerger : il reste malgré tout limité. Ou bien il s’inscrit dans des ensembles familiaux ou tribaux indépendants les uns des autres, ou bien il est soumis à un empire. Les empires se définissent donc d’abord par les nations qui les constituent, et en second lieu par les territoires qu’ils soumettent à leur autorité. Ils sont par essence ethniques et secondairement territoriaux. Par ailleurs, ils abandonnent toujours en marge de leur autorité une zone incontrôlée, où règnent des tribus indépendantes. Ibn Khaldûn développe ainsi une théorie historique de la rotation des nations, qui passent tour à tour de l’ordre rural à l’ordre urbain, exploitant et contrôlant successivement les richesses du monde.</w:t>
      </w:r>
    </w:p>
    <w:p w:rsidR="00F70B74" w:rsidRPr="005D1488" w:rsidRDefault="00F70B74" w:rsidP="00F70B74">
      <w:pPr>
        <w:pStyle w:val="alinea"/>
        <w:spacing w:line="276" w:lineRule="auto"/>
        <w:ind w:firstLine="708"/>
        <w:jc w:val="both"/>
        <w:rPr>
          <w:rFonts w:asciiTheme="majorBidi" w:hAnsiTheme="majorBidi" w:cstheme="majorBidi"/>
          <w:sz w:val="32"/>
          <w:szCs w:val="32"/>
        </w:rPr>
      </w:pPr>
      <w:r w:rsidRPr="005D1488">
        <w:rPr>
          <w:rFonts w:asciiTheme="majorBidi" w:hAnsiTheme="majorBidi" w:cstheme="majorBidi"/>
          <w:sz w:val="32"/>
          <w:szCs w:val="32"/>
        </w:rPr>
        <w:t xml:space="preserve">À la base de ce mouvement cyclique des nations se tient la possibilité de former un pouvoir d’État grâce à la mobilisation de l’esprit de corps tribal, la </w:t>
      </w:r>
      <w:r w:rsidRPr="005D1488">
        <w:rPr>
          <w:rFonts w:asciiTheme="majorBidi" w:hAnsiTheme="majorBidi" w:cstheme="majorBidi"/>
          <w:i/>
          <w:iCs/>
          <w:sz w:val="32"/>
          <w:szCs w:val="32"/>
        </w:rPr>
        <w:t>‘asabiyya</w:t>
      </w:r>
      <w:r w:rsidRPr="005D1488">
        <w:rPr>
          <w:rFonts w:asciiTheme="majorBidi" w:hAnsiTheme="majorBidi" w:cstheme="majorBidi"/>
          <w:sz w:val="32"/>
          <w:szCs w:val="32"/>
        </w:rPr>
        <w:t xml:space="preserve">. La </w:t>
      </w:r>
      <w:r w:rsidRPr="005D1488">
        <w:rPr>
          <w:rFonts w:asciiTheme="majorBidi" w:hAnsiTheme="majorBidi" w:cstheme="majorBidi"/>
          <w:i/>
          <w:iCs/>
          <w:sz w:val="32"/>
          <w:szCs w:val="32"/>
        </w:rPr>
        <w:t>‘asabiyya</w:t>
      </w:r>
      <w:r w:rsidRPr="005D1488">
        <w:rPr>
          <w:rFonts w:asciiTheme="majorBidi" w:hAnsiTheme="majorBidi" w:cstheme="majorBidi"/>
          <w:sz w:val="32"/>
          <w:szCs w:val="32"/>
        </w:rPr>
        <w:t>, c’est ce qui unit, rend solidaire, et c’est aussi la force sociale qui en résulte. Elle peut naître de liens sociaux naturels, comme ceux du sang ou des rapports de clientèle, ou de liens créés artificiellement comme dans les groupes des mamelouks – esclaves achetés dans des pays lointains et éduqués militairement et idéologiquement pour former une classe dirigeante solidaire. Elle peut également résulter de l’adhésion à des valeurs et à des idéaux communs de type religieux ou autre.</w:t>
      </w:r>
    </w:p>
    <w:p w:rsidR="00F70B74" w:rsidRPr="005D1488" w:rsidRDefault="00F70B74" w:rsidP="00F70B74">
      <w:pPr>
        <w:pStyle w:val="alinea"/>
        <w:spacing w:line="276" w:lineRule="auto"/>
        <w:ind w:firstLine="708"/>
        <w:jc w:val="both"/>
        <w:rPr>
          <w:rFonts w:asciiTheme="majorBidi" w:hAnsiTheme="majorBidi" w:cstheme="majorBidi"/>
          <w:sz w:val="32"/>
          <w:szCs w:val="32"/>
        </w:rPr>
      </w:pPr>
      <w:r w:rsidRPr="005D1488">
        <w:rPr>
          <w:rFonts w:asciiTheme="majorBidi" w:hAnsiTheme="majorBidi" w:cstheme="majorBidi"/>
          <w:sz w:val="32"/>
          <w:szCs w:val="32"/>
        </w:rPr>
        <w:t xml:space="preserve">Ibn Khaldûn établit que la </w:t>
      </w:r>
      <w:r w:rsidRPr="005D1488">
        <w:rPr>
          <w:rFonts w:asciiTheme="majorBidi" w:hAnsiTheme="majorBidi" w:cstheme="majorBidi"/>
          <w:i/>
          <w:iCs/>
          <w:sz w:val="32"/>
          <w:szCs w:val="32"/>
        </w:rPr>
        <w:t>‘asabiyya</w:t>
      </w:r>
      <w:r w:rsidRPr="005D1488">
        <w:rPr>
          <w:rFonts w:asciiTheme="majorBidi" w:hAnsiTheme="majorBidi" w:cstheme="majorBidi"/>
          <w:sz w:val="32"/>
          <w:szCs w:val="32"/>
        </w:rPr>
        <w:t xml:space="preserve"> la plus puissante est celle qui se forme dans les sociétés les plus éloignées de la civilisation urbaine et les plus fermées à son influence ; ce sont celles qui conservent intactes leurs qualités guerrières et leurs vertus morales de simplicité et de rigueur. Elle s’affaiblit et atteint son degré minimal au fur et à mesure que l’on se rapproche du monde corrompu des villes, où règnent le luxe et la mollesse. Une </w:t>
      </w:r>
      <w:r w:rsidRPr="005D1488">
        <w:rPr>
          <w:rFonts w:asciiTheme="majorBidi" w:hAnsiTheme="majorBidi" w:cstheme="majorBidi"/>
          <w:i/>
          <w:iCs/>
          <w:sz w:val="32"/>
          <w:szCs w:val="32"/>
        </w:rPr>
        <w:t>‘asabiyya</w:t>
      </w:r>
      <w:r w:rsidRPr="005D1488">
        <w:rPr>
          <w:rFonts w:asciiTheme="majorBidi" w:hAnsiTheme="majorBidi" w:cstheme="majorBidi"/>
          <w:sz w:val="32"/>
          <w:szCs w:val="32"/>
        </w:rPr>
        <w:t xml:space="preserve"> d’origine purement religieuse, qui ne s’appuie pas sur une </w:t>
      </w:r>
      <w:r w:rsidRPr="005D1488">
        <w:rPr>
          <w:rFonts w:asciiTheme="majorBidi" w:hAnsiTheme="majorBidi" w:cstheme="majorBidi"/>
          <w:i/>
          <w:iCs/>
          <w:sz w:val="32"/>
          <w:szCs w:val="32"/>
        </w:rPr>
        <w:t>‘asabiyya</w:t>
      </w:r>
      <w:r w:rsidRPr="005D1488">
        <w:rPr>
          <w:rFonts w:asciiTheme="majorBidi" w:hAnsiTheme="majorBidi" w:cstheme="majorBidi"/>
          <w:sz w:val="32"/>
          <w:szCs w:val="32"/>
        </w:rPr>
        <w:t xml:space="preserve"> tribale, est inopérante, affirme Ibn Khaldûn. Cependant, lorsque la solidarité </w:t>
      </w:r>
      <w:r w:rsidRPr="005D1488">
        <w:rPr>
          <w:rFonts w:asciiTheme="majorBidi" w:hAnsiTheme="majorBidi" w:cstheme="majorBidi"/>
          <w:sz w:val="32"/>
          <w:szCs w:val="32"/>
        </w:rPr>
        <w:lastRenderedPageBreak/>
        <w:t xml:space="preserve">religieuse se conjugue avec la solidarité tribale, on atteint à la forme la plus puissante de </w:t>
      </w:r>
      <w:r w:rsidRPr="005D1488">
        <w:rPr>
          <w:rFonts w:asciiTheme="majorBidi" w:hAnsiTheme="majorBidi" w:cstheme="majorBidi"/>
          <w:i/>
          <w:iCs/>
          <w:sz w:val="32"/>
          <w:szCs w:val="32"/>
        </w:rPr>
        <w:t>‘asabiyya</w:t>
      </w:r>
      <w:r w:rsidRPr="005D1488">
        <w:rPr>
          <w:rFonts w:asciiTheme="majorBidi" w:hAnsiTheme="majorBidi" w:cstheme="majorBidi"/>
          <w:sz w:val="32"/>
          <w:szCs w:val="32"/>
        </w:rPr>
        <w:t>, celle qui donne naissance aux empires universels (</w:t>
      </w:r>
      <w:r w:rsidRPr="005D1488">
        <w:rPr>
          <w:rFonts w:asciiTheme="majorBidi" w:hAnsiTheme="majorBidi" w:cstheme="majorBidi"/>
          <w:i/>
          <w:iCs/>
          <w:sz w:val="32"/>
          <w:szCs w:val="32"/>
        </w:rPr>
        <w:t>al-duwal al-kulliya</w:t>
      </w:r>
      <w:r w:rsidRPr="005D1488">
        <w:rPr>
          <w:rFonts w:asciiTheme="majorBidi" w:hAnsiTheme="majorBidi" w:cstheme="majorBidi"/>
          <w:sz w:val="32"/>
          <w:szCs w:val="32"/>
        </w:rPr>
        <w:t>).</w:t>
      </w:r>
    </w:p>
    <w:p w:rsidR="00F70B74" w:rsidRPr="005D1488" w:rsidRDefault="00F70B74" w:rsidP="00F70B74">
      <w:pPr>
        <w:pStyle w:val="alinea"/>
        <w:spacing w:line="276" w:lineRule="auto"/>
        <w:ind w:firstLine="708"/>
        <w:jc w:val="both"/>
        <w:rPr>
          <w:rFonts w:asciiTheme="majorBidi" w:hAnsiTheme="majorBidi" w:cstheme="majorBidi"/>
          <w:sz w:val="32"/>
          <w:szCs w:val="32"/>
        </w:rPr>
      </w:pPr>
      <w:r w:rsidRPr="005D1488">
        <w:rPr>
          <w:rFonts w:asciiTheme="majorBidi" w:hAnsiTheme="majorBidi" w:cstheme="majorBidi"/>
          <w:sz w:val="32"/>
          <w:szCs w:val="32"/>
        </w:rPr>
        <w:t xml:space="preserve">Ibn Khaldûn pose une loi générale qui lie la </w:t>
      </w:r>
      <w:r w:rsidRPr="005D1488">
        <w:rPr>
          <w:rFonts w:asciiTheme="majorBidi" w:hAnsiTheme="majorBidi" w:cstheme="majorBidi"/>
          <w:i/>
          <w:iCs/>
          <w:sz w:val="32"/>
          <w:szCs w:val="32"/>
        </w:rPr>
        <w:t>‘asabiyya</w:t>
      </w:r>
      <w:r w:rsidRPr="005D1488">
        <w:rPr>
          <w:rFonts w:asciiTheme="majorBidi" w:hAnsiTheme="majorBidi" w:cstheme="majorBidi"/>
          <w:sz w:val="32"/>
          <w:szCs w:val="32"/>
        </w:rPr>
        <w:t xml:space="preserve"> et la souveraineté (</w:t>
      </w:r>
      <w:r w:rsidRPr="005D1488">
        <w:rPr>
          <w:rFonts w:asciiTheme="majorBidi" w:hAnsiTheme="majorBidi" w:cstheme="majorBidi"/>
          <w:i/>
          <w:iCs/>
          <w:sz w:val="32"/>
          <w:szCs w:val="32"/>
        </w:rPr>
        <w:t>al-mulk</w:t>
      </w:r>
      <w:r w:rsidRPr="005D1488">
        <w:rPr>
          <w:rFonts w:asciiTheme="majorBidi" w:hAnsiTheme="majorBidi" w:cstheme="majorBidi"/>
          <w:sz w:val="32"/>
          <w:szCs w:val="32"/>
        </w:rPr>
        <w:t xml:space="preserve">) : toute </w:t>
      </w:r>
      <w:r w:rsidRPr="005D1488">
        <w:rPr>
          <w:rFonts w:asciiTheme="majorBidi" w:hAnsiTheme="majorBidi" w:cstheme="majorBidi"/>
          <w:i/>
          <w:iCs/>
          <w:sz w:val="32"/>
          <w:szCs w:val="32"/>
        </w:rPr>
        <w:t>‘asabiyya</w:t>
      </w:r>
      <w:r w:rsidRPr="005D1488">
        <w:rPr>
          <w:rFonts w:asciiTheme="majorBidi" w:hAnsiTheme="majorBidi" w:cstheme="majorBidi"/>
          <w:sz w:val="32"/>
          <w:szCs w:val="32"/>
        </w:rPr>
        <w:t xml:space="preserve"> a pour fin ultime la formation d’un pouvoir politique, d’une souveraineté, d’un État ; réciproquement, il ne peut émerger de pouvoir politique, de souveraineté, d’État, sans </w:t>
      </w:r>
      <w:r w:rsidRPr="005D1488">
        <w:rPr>
          <w:rFonts w:asciiTheme="majorBidi" w:hAnsiTheme="majorBidi" w:cstheme="majorBidi"/>
          <w:i/>
          <w:iCs/>
          <w:sz w:val="32"/>
          <w:szCs w:val="32"/>
        </w:rPr>
        <w:t>‘asabiyya</w:t>
      </w:r>
      <w:r w:rsidRPr="005D1488">
        <w:rPr>
          <w:rFonts w:asciiTheme="majorBidi" w:hAnsiTheme="majorBidi" w:cstheme="majorBidi"/>
          <w:sz w:val="32"/>
          <w:szCs w:val="32"/>
        </w:rPr>
        <w:t>. Les souverainetés et les États ainsi constitués tendent nécessairement, affirme Ibn Khaldûn, vers une forme de pouvoir absolu et tyrannique, monopolisant la gloire, le prestige social et la richesse.</w:t>
      </w:r>
    </w:p>
    <w:p w:rsidR="00F70B74" w:rsidRPr="005D1488" w:rsidRDefault="00F70B74" w:rsidP="00F70B74">
      <w:pPr>
        <w:pStyle w:val="alinea"/>
        <w:spacing w:line="276" w:lineRule="auto"/>
        <w:ind w:firstLine="708"/>
        <w:jc w:val="both"/>
        <w:rPr>
          <w:rFonts w:asciiTheme="majorBidi" w:hAnsiTheme="majorBidi" w:cstheme="majorBidi"/>
          <w:sz w:val="32"/>
          <w:szCs w:val="32"/>
        </w:rPr>
      </w:pPr>
      <w:r w:rsidRPr="005D1488">
        <w:rPr>
          <w:rFonts w:asciiTheme="majorBidi" w:hAnsiTheme="majorBidi" w:cstheme="majorBidi"/>
          <w:sz w:val="32"/>
          <w:szCs w:val="32"/>
        </w:rPr>
        <w:t>Au sein de la famille et de la tribu, les hommes entretiennent des rapports de solidarité horizontaux, de tendance égalitaire. Quand un membre de la famille ou de la tribu est agressé par un étranger, il peut compter sur la solidarité automatique et inconditionnelle de l’ensemble des membres de son groupe. Il en va de même pour une famille par rapport à la tribu à laquelle elle appartient, ou pour une tribu par rapport à la confédération de tribus dont elle fait partie.</w:t>
      </w:r>
    </w:p>
    <w:p w:rsidR="00F70B74" w:rsidRPr="005D1488" w:rsidRDefault="00F70B74" w:rsidP="00F70B74">
      <w:pPr>
        <w:pStyle w:val="alinea"/>
        <w:spacing w:line="276" w:lineRule="auto"/>
        <w:ind w:firstLine="708"/>
        <w:jc w:val="both"/>
        <w:rPr>
          <w:rFonts w:asciiTheme="majorBidi" w:hAnsiTheme="majorBidi" w:cstheme="majorBidi"/>
          <w:sz w:val="32"/>
          <w:szCs w:val="32"/>
        </w:rPr>
      </w:pPr>
      <w:r w:rsidRPr="005D1488">
        <w:rPr>
          <w:rFonts w:asciiTheme="majorBidi" w:hAnsiTheme="majorBidi" w:cstheme="majorBidi"/>
          <w:sz w:val="32"/>
          <w:szCs w:val="32"/>
        </w:rPr>
        <w:t xml:space="preserve">Cette forme de solidarité primaire horizontale se mue en une relation d’allégeance verticale lorsqu’il se forme un pouvoir de type étatique dont la visée est la conquête d’un empire existant ou la formation d’un nouvel empire. L’autorité, la gloire et la richesse tendent alors à être monopolisées par un seul homme et la solidarité entre les membres égaux de la tribu se change en allégeance de sujets à leur souverain. En portant un de leurs membres au pouvoir étatique, les tribus perdent progressivement leur </w:t>
      </w:r>
      <w:r w:rsidRPr="005D1488">
        <w:rPr>
          <w:rFonts w:asciiTheme="majorBidi" w:hAnsiTheme="majorBidi" w:cstheme="majorBidi"/>
          <w:i/>
          <w:iCs/>
          <w:sz w:val="32"/>
          <w:szCs w:val="32"/>
        </w:rPr>
        <w:t>‘asabiyya</w:t>
      </w:r>
      <w:r w:rsidRPr="005D1488">
        <w:rPr>
          <w:rFonts w:asciiTheme="majorBidi" w:hAnsiTheme="majorBidi" w:cstheme="majorBidi"/>
          <w:sz w:val="32"/>
          <w:szCs w:val="32"/>
        </w:rPr>
        <w:t>. Les hommes qui les composent se transforment en clients du souverain et sont, en une phase ultime, remplacés par d’autres, engagés en tant qu’individus, sans référence à leur appartenance.</w:t>
      </w:r>
    </w:p>
    <w:p w:rsidR="00F70B74" w:rsidRPr="005D1488" w:rsidRDefault="00F70B74" w:rsidP="00F70B74">
      <w:pPr>
        <w:pStyle w:val="alinea"/>
        <w:spacing w:line="276" w:lineRule="auto"/>
        <w:ind w:firstLine="708"/>
        <w:jc w:val="both"/>
        <w:rPr>
          <w:rFonts w:asciiTheme="majorBidi" w:hAnsiTheme="majorBidi" w:cstheme="majorBidi"/>
          <w:sz w:val="32"/>
          <w:szCs w:val="32"/>
        </w:rPr>
      </w:pPr>
      <w:r w:rsidRPr="005D1488">
        <w:rPr>
          <w:rFonts w:asciiTheme="majorBidi" w:hAnsiTheme="majorBidi" w:cstheme="majorBidi"/>
          <w:sz w:val="32"/>
          <w:szCs w:val="32"/>
        </w:rPr>
        <w:t xml:space="preserve">Il faut insister sur le fait que la formation des États par les diverses grandes nations du monde s’inscrit, selon Ibn Khaldûn, dans un processus total. Les nations qui émergent à l’histoire, comme celles des Perses ou des Grecs dans le passé préislamique, ou celles des </w:t>
      </w:r>
      <w:r w:rsidRPr="005D1488">
        <w:rPr>
          <w:rFonts w:asciiTheme="majorBidi" w:hAnsiTheme="majorBidi" w:cstheme="majorBidi"/>
          <w:sz w:val="32"/>
          <w:szCs w:val="32"/>
        </w:rPr>
        <w:lastRenderedPageBreak/>
        <w:t>Arabes, des Turcs et des Francs à l’époque de l’Islam, accomplissent dans le même mouvement une révolution politique et sociale et une mutation économique et culturelle.</w:t>
      </w:r>
    </w:p>
    <w:p w:rsidR="006B1BD3" w:rsidRDefault="006B1BD3"/>
    <w:sectPr w:rsidR="006B1BD3" w:rsidSect="00F70B74">
      <w:footerReference w:type="default" r:id="rId9"/>
      <w:pgSz w:w="11906" w:h="16838"/>
      <w:pgMar w:top="28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A80" w:rsidRDefault="003C4A80" w:rsidP="00F70B74">
      <w:pPr>
        <w:spacing w:after="0" w:line="240" w:lineRule="auto"/>
      </w:pPr>
      <w:r>
        <w:separator/>
      </w:r>
    </w:p>
  </w:endnote>
  <w:endnote w:type="continuationSeparator" w:id="1">
    <w:p w:rsidR="003C4A80" w:rsidRDefault="003C4A80" w:rsidP="00F70B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4466"/>
      <w:docPartObj>
        <w:docPartGallery w:val="Page Numbers (Bottom of Page)"/>
        <w:docPartUnique/>
      </w:docPartObj>
    </w:sdtPr>
    <w:sdtContent>
      <w:p w:rsidR="00F70B74" w:rsidRDefault="00F70B74">
        <w:pPr>
          <w:pStyle w:val="Pieddepage"/>
          <w:jc w:val="center"/>
        </w:pPr>
        <w:fldSimple w:instr=" PAGE   \* MERGEFORMAT ">
          <w:r>
            <w:rPr>
              <w:noProof/>
            </w:rPr>
            <w:t>1</w:t>
          </w:r>
        </w:fldSimple>
      </w:p>
    </w:sdtContent>
  </w:sdt>
  <w:p w:rsidR="00F70B74" w:rsidRDefault="00F70B7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A80" w:rsidRDefault="003C4A80" w:rsidP="00F70B74">
      <w:pPr>
        <w:spacing w:after="0" w:line="240" w:lineRule="auto"/>
      </w:pPr>
      <w:r>
        <w:separator/>
      </w:r>
    </w:p>
  </w:footnote>
  <w:footnote w:type="continuationSeparator" w:id="1">
    <w:p w:rsidR="003C4A80" w:rsidRDefault="003C4A80" w:rsidP="00F70B74">
      <w:pPr>
        <w:spacing w:after="0" w:line="240" w:lineRule="auto"/>
      </w:pPr>
      <w:r>
        <w:continuationSeparator/>
      </w:r>
    </w:p>
  </w:footnote>
  <w:footnote w:id="2">
    <w:p w:rsidR="00F70B74" w:rsidRDefault="00F70B74" w:rsidP="00F70B74">
      <w:r>
        <w:rPr>
          <w:rStyle w:val="Appelnotedebasdep"/>
        </w:rPr>
        <w:footnoteRef/>
      </w:r>
      <w:r>
        <w:t xml:space="preserve">- La théorie de la civilisation d’Ibn Khaldûn est-elle universalisable ? Par </w:t>
      </w:r>
      <w:r w:rsidRPr="00826D33">
        <w:t>CHEDDADI Abdesselam</w:t>
      </w:r>
      <w:r>
        <w:t xml:space="preserve"> </w:t>
      </w:r>
      <w:r w:rsidRPr="00826D33">
        <w:t>https://esprit.presse.fr/article/cheddadi-abdesselam/la-theorie-de-la-civilisation-d-ibn-khaldun-est-elle-universalisable-14766</w:t>
      </w:r>
    </w:p>
    <w:p w:rsidR="00F70B74" w:rsidRDefault="00F70B74" w:rsidP="00F70B74">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B209D"/>
    <w:multiLevelType w:val="hybridMultilevel"/>
    <w:tmpl w:val="3EB2A4B2"/>
    <w:lvl w:ilvl="0" w:tplc="59B4B3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E3A3DA3"/>
    <w:multiLevelType w:val="hybridMultilevel"/>
    <w:tmpl w:val="E2B24800"/>
    <w:lvl w:ilvl="0" w:tplc="6D90B6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F70B74"/>
    <w:rsid w:val="003C4A80"/>
    <w:rsid w:val="006B1BD3"/>
    <w:rsid w:val="00F70B7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B74"/>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0B74"/>
    <w:pPr>
      <w:ind w:left="720"/>
      <w:contextualSpacing/>
    </w:pPr>
  </w:style>
  <w:style w:type="paragraph" w:customStyle="1" w:styleId="alinea">
    <w:name w:val="alinea"/>
    <w:basedOn w:val="Normal"/>
    <w:rsid w:val="00F70B74"/>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F70B7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70B74"/>
    <w:rPr>
      <w:rFonts w:eastAsiaTheme="minorEastAsia"/>
      <w:sz w:val="20"/>
      <w:szCs w:val="20"/>
      <w:lang w:eastAsia="fr-FR"/>
    </w:rPr>
  </w:style>
  <w:style w:type="character" w:styleId="Appelnotedebasdep">
    <w:name w:val="footnote reference"/>
    <w:basedOn w:val="Policepardfaut"/>
    <w:uiPriority w:val="99"/>
    <w:semiHidden/>
    <w:unhideWhenUsed/>
    <w:rsid w:val="00F70B74"/>
    <w:rPr>
      <w:vertAlign w:val="superscript"/>
    </w:rPr>
  </w:style>
  <w:style w:type="character" w:styleId="Lienhypertexte">
    <w:name w:val="Hyperlink"/>
    <w:uiPriority w:val="99"/>
    <w:rsid w:val="00F70B74"/>
    <w:rPr>
      <w:strike w:val="0"/>
      <w:dstrike w:val="0"/>
      <w:color w:val="0000FF"/>
      <w:u w:val="none"/>
      <w:effect w:val="none"/>
    </w:rPr>
  </w:style>
  <w:style w:type="paragraph" w:styleId="Textedebulles">
    <w:name w:val="Balloon Text"/>
    <w:basedOn w:val="Normal"/>
    <w:link w:val="TextedebullesCar"/>
    <w:uiPriority w:val="99"/>
    <w:semiHidden/>
    <w:unhideWhenUsed/>
    <w:rsid w:val="00F70B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0B74"/>
    <w:rPr>
      <w:rFonts w:ascii="Tahoma" w:eastAsiaTheme="minorEastAsia" w:hAnsi="Tahoma" w:cs="Tahoma"/>
      <w:sz w:val="16"/>
      <w:szCs w:val="16"/>
      <w:lang w:eastAsia="fr-FR"/>
    </w:rPr>
  </w:style>
  <w:style w:type="paragraph" w:styleId="En-tte">
    <w:name w:val="header"/>
    <w:basedOn w:val="Normal"/>
    <w:link w:val="En-tteCar"/>
    <w:uiPriority w:val="99"/>
    <w:semiHidden/>
    <w:unhideWhenUsed/>
    <w:rsid w:val="00F70B7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70B74"/>
    <w:rPr>
      <w:rFonts w:eastAsiaTheme="minorEastAsia"/>
      <w:lang w:eastAsia="fr-FR"/>
    </w:rPr>
  </w:style>
  <w:style w:type="paragraph" w:styleId="Pieddepage">
    <w:name w:val="footer"/>
    <w:basedOn w:val="Normal"/>
    <w:link w:val="PieddepageCar"/>
    <w:uiPriority w:val="99"/>
    <w:unhideWhenUsed/>
    <w:rsid w:val="00F70B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0B74"/>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uiche.mahrez@Univ-bejaia.d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1844</Words>
  <Characters>10148</Characters>
  <Application>Microsoft Office Word</Application>
  <DocSecurity>0</DocSecurity>
  <Lines>84</Lines>
  <Paragraphs>23</Paragraphs>
  <ScaleCrop>false</ScaleCrop>
  <Company/>
  <LinksUpToDate>false</LinksUpToDate>
  <CharactersWithSpaces>11969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dc:creator>
  <cp:lastModifiedBy>nds</cp:lastModifiedBy>
  <cp:revision>1</cp:revision>
  <dcterms:created xsi:type="dcterms:W3CDTF">2024-04-21T23:20:00Z</dcterms:created>
  <dcterms:modified xsi:type="dcterms:W3CDTF">2024-04-21T23:24:00Z</dcterms:modified>
</cp:coreProperties>
</file>