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5" w:rsidRDefault="002A4029" w:rsidP="00BE6EE2">
      <w:pPr>
        <w:spacing w:after="6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8D">
        <w:rPr>
          <w:rFonts w:ascii="Times New Roman" w:hAnsi="Times New Roman" w:cs="Times New Roman"/>
          <w:b/>
          <w:sz w:val="28"/>
          <w:szCs w:val="28"/>
        </w:rPr>
        <w:t>L</w:t>
      </w:r>
      <w:r w:rsidR="003A1EC5">
        <w:rPr>
          <w:rFonts w:ascii="Times New Roman" w:hAnsi="Times New Roman" w:cs="Times New Roman"/>
          <w:b/>
          <w:sz w:val="28"/>
          <w:szCs w:val="28"/>
        </w:rPr>
        <w:t>’énonciation</w:t>
      </w:r>
    </w:p>
    <w:p w:rsidR="003A1EC5" w:rsidRDefault="00B967B1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B1">
        <w:rPr>
          <w:rFonts w:ascii="Times New Roman" w:hAnsi="Times New Roman" w:cs="Times New Roman"/>
          <w:sz w:val="28"/>
          <w:szCs w:val="28"/>
        </w:rPr>
        <w:t>L</w:t>
      </w:r>
      <w:r w:rsidR="003A1EC5">
        <w:rPr>
          <w:rFonts w:ascii="Times New Roman" w:hAnsi="Times New Roman" w:cs="Times New Roman"/>
          <w:sz w:val="28"/>
          <w:szCs w:val="28"/>
        </w:rPr>
        <w:t>’énonciation peut être définie, avec Emile Benveniste (</w:t>
      </w:r>
      <w:r w:rsidR="003A1EC5" w:rsidRPr="003A1EC5">
        <w:rPr>
          <w:rFonts w:ascii="Times New Roman" w:hAnsi="Times New Roman" w:cs="Times New Roman"/>
          <w:i/>
          <w:sz w:val="28"/>
          <w:szCs w:val="28"/>
        </w:rPr>
        <w:t>Problème</w:t>
      </w:r>
      <w:r w:rsidR="003A1EC5">
        <w:rPr>
          <w:rFonts w:ascii="Times New Roman" w:hAnsi="Times New Roman" w:cs="Times New Roman"/>
          <w:sz w:val="28"/>
          <w:szCs w:val="28"/>
        </w:rPr>
        <w:t xml:space="preserve"> </w:t>
      </w:r>
      <w:r w:rsidR="003A1EC5" w:rsidRPr="003A1EC5">
        <w:rPr>
          <w:rFonts w:ascii="Times New Roman" w:hAnsi="Times New Roman" w:cs="Times New Roman"/>
          <w:i/>
          <w:sz w:val="28"/>
          <w:szCs w:val="28"/>
        </w:rPr>
        <w:t>de linguistique générale</w:t>
      </w:r>
      <w:r w:rsidR="003A1EC5">
        <w:rPr>
          <w:rFonts w:ascii="Times New Roman" w:hAnsi="Times New Roman" w:cs="Times New Roman"/>
          <w:sz w:val="28"/>
          <w:szCs w:val="28"/>
        </w:rPr>
        <w:t>) comme la mise en fonctionnement de la langue, au moyen d’un acte individuel d’utilisation, c’est-à-dire un acte pris en charge par un locuteur (ou énonciateur) donné, dans un cadre spatio-temporel donné, et destiné à un allocutaire donné.</w:t>
      </w:r>
    </w:p>
    <w:p w:rsidR="003A1EC5" w:rsidRDefault="003A1EC5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L’acte d’énonciation est la condition d’existence du discours et d’actualisation de la référence.</w:t>
      </w:r>
    </w:p>
    <w:p w:rsidR="00964B09" w:rsidRDefault="003A1EC5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mot </w:t>
      </w:r>
      <w:r w:rsidRPr="003A1EC5">
        <w:rPr>
          <w:rFonts w:ascii="Times New Roman" w:hAnsi="Times New Roman" w:cs="Times New Roman"/>
          <w:i/>
          <w:sz w:val="28"/>
          <w:szCs w:val="28"/>
        </w:rPr>
        <w:t>énonciation</w:t>
      </w:r>
      <w:r>
        <w:rPr>
          <w:rFonts w:ascii="Times New Roman" w:hAnsi="Times New Roman" w:cs="Times New Roman"/>
          <w:sz w:val="28"/>
          <w:szCs w:val="28"/>
        </w:rPr>
        <w:t xml:space="preserve"> désigne le processus même qui a pour aboutissement l’énoncé. Ce processus est unique : il n’est pas susceptible d’être reproduit comme l’énoncé</w:t>
      </w:r>
      <w:r w:rsidR="00964B09">
        <w:rPr>
          <w:rFonts w:ascii="Times New Roman" w:hAnsi="Times New Roman" w:cs="Times New Roman"/>
          <w:sz w:val="28"/>
          <w:szCs w:val="28"/>
        </w:rPr>
        <w:t xml:space="preserve">. S’il est reproduit, apparaissent des conditions nouvelles d’énonciation. L’énonciation est donc ce qui rattache l’énoncé à la réalité, mais aussi au temps. </w:t>
      </w:r>
    </w:p>
    <w:p w:rsidR="00964B09" w:rsidRDefault="00964B09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sens strict, l’énonciation désigne l’acte même d’énoncer. Pour l’étudier, on doit prendre en compte un certain nombre de paramètres : par exemple, la personne de l’énonciateur, le lieu où se produit l’énonciation, les conditions sociales, historiques, qui l’entourent, le moment, l’acte de langage dans lequel l’énonciation se trouve engagée, etc.</w:t>
      </w:r>
    </w:p>
    <w:p w:rsidR="003A1EC5" w:rsidRDefault="00964B09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France, il revient à  Emile Benveniste d’avoir initié entre les années 50 et 70 un courant appelé plus tard </w:t>
      </w:r>
      <w:r w:rsidRPr="00964B09">
        <w:rPr>
          <w:rFonts w:ascii="Times New Roman" w:hAnsi="Times New Roman" w:cs="Times New Roman"/>
          <w:i/>
          <w:sz w:val="28"/>
          <w:szCs w:val="28"/>
        </w:rPr>
        <w:t>linguistique de l’énonciation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6F0" w:rsidRDefault="006D36F0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est habituel de distinguer entre la </w:t>
      </w:r>
      <w:r w:rsidRPr="006D36F0">
        <w:rPr>
          <w:rFonts w:ascii="Times New Roman" w:hAnsi="Times New Roman" w:cs="Times New Roman"/>
          <w:i/>
          <w:sz w:val="28"/>
          <w:szCs w:val="28"/>
        </w:rPr>
        <w:t>phrase</w:t>
      </w:r>
      <w:r>
        <w:rPr>
          <w:rFonts w:ascii="Times New Roman" w:hAnsi="Times New Roman" w:cs="Times New Roman"/>
          <w:sz w:val="28"/>
          <w:szCs w:val="28"/>
        </w:rPr>
        <w:t>, entité linguistique abstraite, qui peut être employée dans une infinité de situations différentes, et l’</w:t>
      </w:r>
      <w:r w:rsidRPr="006D36F0">
        <w:rPr>
          <w:rFonts w:ascii="Times New Roman" w:hAnsi="Times New Roman" w:cs="Times New Roman"/>
          <w:i/>
          <w:sz w:val="28"/>
          <w:szCs w:val="28"/>
        </w:rPr>
        <w:t>énoncé</w:t>
      </w:r>
      <w:r>
        <w:rPr>
          <w:rFonts w:ascii="Times New Roman" w:hAnsi="Times New Roman" w:cs="Times New Roman"/>
          <w:sz w:val="28"/>
          <w:szCs w:val="28"/>
        </w:rPr>
        <w:t>, réalisation particulière  d’une phrase par un sujet parlant déterminé, en tel endroit, à tel moment. De ces deux notions, il faut encore distinguer l’</w:t>
      </w:r>
      <w:r w:rsidRPr="006D36F0">
        <w:rPr>
          <w:rFonts w:ascii="Times New Roman" w:hAnsi="Times New Roman" w:cs="Times New Roman"/>
          <w:i/>
          <w:sz w:val="28"/>
          <w:szCs w:val="28"/>
        </w:rPr>
        <w:t>énonciation</w:t>
      </w:r>
      <w:r>
        <w:rPr>
          <w:rFonts w:ascii="Times New Roman" w:hAnsi="Times New Roman" w:cs="Times New Roman"/>
          <w:sz w:val="28"/>
          <w:szCs w:val="28"/>
        </w:rPr>
        <w:t> : c’est l’événement historique constitué par le fait qu’un énoncé a été produit.</w:t>
      </w:r>
    </w:p>
    <w:p w:rsidR="006D36F0" w:rsidRDefault="006D36F0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Toutes les langues disposent d</w:t>
      </w:r>
      <w:r w:rsidR="002F5E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un certa</w:t>
      </w:r>
      <w:r w:rsidR="002F5EFF">
        <w:rPr>
          <w:rFonts w:ascii="Times New Roman" w:hAnsi="Times New Roman" w:cs="Times New Roman"/>
          <w:sz w:val="28"/>
          <w:szCs w:val="28"/>
        </w:rPr>
        <w:t xml:space="preserve">in nombre de termes, de tournures, qui renvoient à l’énonciation, les pronoms </w:t>
      </w:r>
      <w:r w:rsidR="002F5EFF" w:rsidRPr="002F5EFF">
        <w:rPr>
          <w:rFonts w:ascii="Times New Roman" w:hAnsi="Times New Roman" w:cs="Times New Roman"/>
          <w:i/>
          <w:sz w:val="28"/>
          <w:szCs w:val="28"/>
        </w:rPr>
        <w:t>je</w:t>
      </w:r>
      <w:r w:rsidR="002F5EFF">
        <w:rPr>
          <w:rFonts w:ascii="Times New Roman" w:hAnsi="Times New Roman" w:cs="Times New Roman"/>
          <w:sz w:val="28"/>
          <w:szCs w:val="28"/>
        </w:rPr>
        <w:t xml:space="preserve"> et </w:t>
      </w:r>
      <w:r w:rsidR="002F5EFF" w:rsidRPr="002F5EFF">
        <w:rPr>
          <w:rFonts w:ascii="Times New Roman" w:hAnsi="Times New Roman" w:cs="Times New Roman"/>
          <w:i/>
          <w:sz w:val="28"/>
          <w:szCs w:val="28"/>
        </w:rPr>
        <w:t>tu</w:t>
      </w:r>
      <w:r w:rsidR="002F5EFF">
        <w:rPr>
          <w:rFonts w:ascii="Times New Roman" w:hAnsi="Times New Roman" w:cs="Times New Roman"/>
          <w:sz w:val="28"/>
          <w:szCs w:val="28"/>
        </w:rPr>
        <w:t xml:space="preserve">, par exemple. Ces pronoms ne peuvent pas s’analyser en dehors de la situation d’énonciation. </w:t>
      </w:r>
    </w:p>
    <w:p w:rsidR="00D303F5" w:rsidRDefault="002F5EFF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note également que des adverbes de lieu, de temps, comme </w:t>
      </w:r>
      <w:r w:rsidRPr="002F5EFF">
        <w:rPr>
          <w:rFonts w:ascii="Times New Roman" w:hAnsi="Times New Roman" w:cs="Times New Roman"/>
          <w:i/>
          <w:sz w:val="28"/>
          <w:szCs w:val="28"/>
        </w:rPr>
        <w:t>ici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EFF">
        <w:rPr>
          <w:rFonts w:ascii="Times New Roman" w:hAnsi="Times New Roman" w:cs="Times New Roman"/>
          <w:i/>
          <w:sz w:val="28"/>
          <w:szCs w:val="28"/>
        </w:rPr>
        <w:t>maintenant</w:t>
      </w:r>
      <w:r>
        <w:rPr>
          <w:rFonts w:ascii="Times New Roman" w:hAnsi="Times New Roman" w:cs="Times New Roman"/>
          <w:sz w:val="28"/>
          <w:szCs w:val="28"/>
        </w:rPr>
        <w:t xml:space="preserve">, qui situent l’énonciation dans la réalité ont la même fonction. En fait, tous les mots qui </w:t>
      </w:r>
      <w:r>
        <w:rPr>
          <w:rFonts w:ascii="Times New Roman" w:hAnsi="Times New Roman" w:cs="Times New Roman"/>
          <w:sz w:val="28"/>
          <w:szCs w:val="28"/>
        </w:rPr>
        <w:lastRenderedPageBreak/>
        <w:t>aident à mettre en relation</w:t>
      </w:r>
      <w:r w:rsidR="0054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l’énoncé avec la réalité sont qualifiés d’</w:t>
      </w:r>
      <w:r w:rsidRPr="00547878">
        <w:rPr>
          <w:rFonts w:ascii="Times New Roman" w:hAnsi="Times New Roman" w:cs="Times New Roman"/>
          <w:i/>
          <w:sz w:val="28"/>
          <w:szCs w:val="28"/>
        </w:rPr>
        <w:t>embrayeurs</w:t>
      </w:r>
      <w:r w:rsidR="00547878">
        <w:rPr>
          <w:rFonts w:ascii="Times New Roman" w:hAnsi="Times New Roman" w:cs="Times New Roman"/>
          <w:sz w:val="28"/>
          <w:szCs w:val="28"/>
        </w:rPr>
        <w:t xml:space="preserve"> (shifters)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03F5">
        <w:rPr>
          <w:rFonts w:ascii="Times New Roman" w:hAnsi="Times New Roman" w:cs="Times New Roman"/>
          <w:sz w:val="28"/>
          <w:szCs w:val="28"/>
        </w:rPr>
        <w:t xml:space="preserve">Les embrayeurs mettent en relation le contenu de l’énoncé avec une réalité. </w:t>
      </w:r>
    </w:p>
    <w:p w:rsidR="008C4DDF" w:rsidRDefault="008C4DDF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8C4DDF">
        <w:rPr>
          <w:rFonts w:ascii="Times New Roman" w:hAnsi="Times New Roman" w:cs="Times New Roman"/>
          <w:i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et le </w:t>
      </w:r>
      <w:r w:rsidRPr="008C4DDF">
        <w:rPr>
          <w:rFonts w:ascii="Times New Roman" w:hAnsi="Times New Roman" w:cs="Times New Roman"/>
          <w:i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 xml:space="preserve"> du français, réfèrent à celui qui est </w:t>
      </w:r>
      <w:r w:rsidR="00F00B6C">
        <w:rPr>
          <w:rFonts w:ascii="Times New Roman" w:hAnsi="Times New Roman" w:cs="Times New Roman"/>
          <w:sz w:val="28"/>
          <w:szCs w:val="28"/>
        </w:rPr>
        <w:t xml:space="preserve">en train ou à qui l’on est en train de parler. Ils désignent certains êtres en leur attribuant le rôle d’interlocuteur, c’est-à-dire de locuteur ou d’allocutaire, dans l’événement énonciatif où l’énoncé apparaît. Des mots comme </w:t>
      </w:r>
      <w:r w:rsidR="00F00B6C" w:rsidRPr="00F00B6C">
        <w:rPr>
          <w:rFonts w:ascii="Times New Roman" w:hAnsi="Times New Roman" w:cs="Times New Roman"/>
          <w:i/>
          <w:sz w:val="28"/>
          <w:szCs w:val="28"/>
        </w:rPr>
        <w:t>mon</w:t>
      </w:r>
      <w:r w:rsidR="00F00B6C">
        <w:rPr>
          <w:rFonts w:ascii="Times New Roman" w:hAnsi="Times New Roman" w:cs="Times New Roman"/>
          <w:sz w:val="28"/>
          <w:szCs w:val="28"/>
        </w:rPr>
        <w:t xml:space="preserve"> ou </w:t>
      </w:r>
      <w:r w:rsidR="00F00B6C" w:rsidRPr="00F00B6C">
        <w:rPr>
          <w:rFonts w:ascii="Times New Roman" w:hAnsi="Times New Roman" w:cs="Times New Roman"/>
          <w:i/>
          <w:sz w:val="28"/>
          <w:szCs w:val="28"/>
        </w:rPr>
        <w:t>le tien</w:t>
      </w:r>
      <w:r w:rsidR="00F00B6C">
        <w:rPr>
          <w:rFonts w:ascii="Times New Roman" w:hAnsi="Times New Roman" w:cs="Times New Roman"/>
          <w:sz w:val="28"/>
          <w:szCs w:val="28"/>
        </w:rPr>
        <w:t>, ne désignent pas les participants de l’énonciation, mais des objets en les mettant en relation avec ces participants.</w:t>
      </w:r>
    </w:p>
    <w:p w:rsidR="006959D3" w:rsidRDefault="006959D3" w:rsidP="003A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ertains mots commentent l’énonciation de manière très directe, comme l’adverbe </w:t>
      </w:r>
      <w:r w:rsidRPr="006959D3">
        <w:rPr>
          <w:rFonts w:ascii="Times New Roman" w:hAnsi="Times New Roman" w:cs="Times New Roman"/>
          <w:i/>
          <w:sz w:val="28"/>
          <w:szCs w:val="28"/>
        </w:rPr>
        <w:t>franchement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DA">
        <w:rPr>
          <w:rFonts w:ascii="Times New Roman" w:hAnsi="Times New Roman" w:cs="Times New Roman"/>
          <w:sz w:val="28"/>
          <w:szCs w:val="28"/>
        </w:rPr>
        <w:t xml:space="preserve">par exemple, </w:t>
      </w:r>
      <w:r>
        <w:rPr>
          <w:rFonts w:ascii="Times New Roman" w:hAnsi="Times New Roman" w:cs="Times New Roman"/>
          <w:sz w:val="28"/>
          <w:szCs w:val="28"/>
        </w:rPr>
        <w:t>dans « </w:t>
      </w:r>
      <w:r w:rsidRPr="006959D3">
        <w:rPr>
          <w:rFonts w:ascii="Times New Roman" w:hAnsi="Times New Roman" w:cs="Times New Roman"/>
          <w:i/>
          <w:sz w:val="28"/>
          <w:szCs w:val="28"/>
        </w:rPr>
        <w:t>franchement</w:t>
      </w:r>
      <w:r w:rsidRPr="006959D3">
        <w:rPr>
          <w:rFonts w:ascii="Times New Roman" w:hAnsi="Times New Roman" w:cs="Times New Roman"/>
          <w:sz w:val="28"/>
          <w:szCs w:val="28"/>
        </w:rPr>
        <w:t>, c’est mal</w:t>
      </w:r>
      <w:r>
        <w:rPr>
          <w:rFonts w:ascii="Times New Roman" w:hAnsi="Times New Roman" w:cs="Times New Roman"/>
          <w:sz w:val="28"/>
          <w:szCs w:val="28"/>
        </w:rPr>
        <w:t> ». L’emploi de l’adverbe correspond à la volonté de dire quelque chose comme « </w:t>
      </w:r>
      <w:r w:rsidRPr="006959D3">
        <w:rPr>
          <w:rFonts w:ascii="Times New Roman" w:hAnsi="Times New Roman" w:cs="Times New Roman"/>
          <w:sz w:val="28"/>
          <w:szCs w:val="28"/>
        </w:rPr>
        <w:t xml:space="preserve">si tu me demandes mon avis, je te dirai </w:t>
      </w:r>
      <w:r w:rsidRPr="006959D3">
        <w:rPr>
          <w:rFonts w:ascii="Times New Roman" w:hAnsi="Times New Roman" w:cs="Times New Roman"/>
          <w:i/>
          <w:sz w:val="28"/>
          <w:szCs w:val="28"/>
        </w:rPr>
        <w:t>franchement</w:t>
      </w:r>
      <w:r w:rsidRPr="006959D3">
        <w:rPr>
          <w:rFonts w:ascii="Times New Roman" w:hAnsi="Times New Roman" w:cs="Times New Roman"/>
          <w:sz w:val="28"/>
          <w:szCs w:val="28"/>
        </w:rPr>
        <w:t xml:space="preserve"> que c’est mal</w:t>
      </w:r>
      <w:r>
        <w:rPr>
          <w:rFonts w:ascii="Times New Roman" w:hAnsi="Times New Roman" w:cs="Times New Roman"/>
          <w:sz w:val="28"/>
          <w:szCs w:val="28"/>
        </w:rPr>
        <w:t> ».</w:t>
      </w:r>
    </w:p>
    <w:p w:rsidR="003A1EC5" w:rsidRDefault="006959D3" w:rsidP="00695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Lorsque nous sommes émus, il nous arrive de nous exclamer, de ponctuer notre discours d’interjections (</w:t>
      </w:r>
      <w:r w:rsidRPr="006959D3">
        <w:rPr>
          <w:rFonts w:ascii="Times New Roman" w:hAnsi="Times New Roman" w:cs="Times New Roman"/>
          <w:i/>
          <w:sz w:val="28"/>
          <w:szCs w:val="28"/>
        </w:rPr>
        <w:t>hélas !</w:t>
      </w:r>
      <w:r>
        <w:rPr>
          <w:rFonts w:ascii="Times New Roman" w:hAnsi="Times New Roman" w:cs="Times New Roman"/>
          <w:sz w:val="28"/>
          <w:szCs w:val="28"/>
        </w:rPr>
        <w:t>) ou d’augmenter la quantité de mots portant une trace d’énonciation.</w:t>
      </w:r>
    </w:p>
    <w:p w:rsidR="00CA3CA2" w:rsidRDefault="006959D3" w:rsidP="00CA3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 l’on enregistre une conversation ordinaire, on s’apercevra du nombre d’éléments de langage qui n’ont pas d’utilité dans le cadre strict de l’énoncé. Cependant, bien souvent, dans la conversation, nous répondons davantage à ce qui est impliqué par l’énonciation qu’à l’énoncé-même. La capacité de bien interpréter l’énonciation est une compétence qui nous est tout aussi nécessaire que la compétence linguistique pour parler.</w:t>
      </w:r>
    </w:p>
    <w:p w:rsidR="006959D3" w:rsidRDefault="00CA3CA2" w:rsidP="00C42BA1">
      <w:pPr>
        <w:spacing w:after="6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Pendant longtemps, la linguistique ne s’est intéressée qu’à l’énoncé (structure syntaxique, sémantique, phonologique). Depuis plusieurs décennies maintenant, elle s’intéresse également à l’énonciation, c’est-à-dire à la production même de</w:t>
      </w:r>
      <w:r w:rsidR="0066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l’énoncé. Tout ce qui est dit est produit par quelqu’un qui le dit, dans un certain lieu, à un certain moment, dans certaines circonstances. Ainsi, l’attention nouvelle portée à l’énonciation par la linguistique, surtout sous l’influence de la pragmatique, montre que la linguistique s’intéresse de plus en plus aux phénomènes liés à la parole et au discours.</w:t>
      </w:r>
    </w:p>
    <w:p w:rsidR="003A1EC5" w:rsidRDefault="003A1EC5" w:rsidP="0032209B">
      <w:pPr>
        <w:spacing w:after="6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 pragmatique</w:t>
      </w:r>
    </w:p>
    <w:p w:rsidR="00C42BA1" w:rsidRDefault="00C42BA1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linguistique structurale étudie essentiellement le système de la langue. On lui a reproché de ne pas tenir compte du locuteur</w:t>
      </w:r>
      <w:r w:rsidR="0032209B">
        <w:rPr>
          <w:rFonts w:ascii="Times New Roman" w:hAnsi="Times New Roman" w:cs="Times New Roman"/>
          <w:sz w:val="28"/>
          <w:szCs w:val="28"/>
        </w:rPr>
        <w:t xml:space="preserve"> ou du contexte d’énonciation. La linguistique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9B">
        <w:rPr>
          <w:rFonts w:ascii="Times New Roman" w:hAnsi="Times New Roman" w:cs="Times New Roman"/>
          <w:sz w:val="28"/>
          <w:szCs w:val="28"/>
        </w:rPr>
        <w:t>du 20</w:t>
      </w:r>
      <w:r w:rsidR="0032209B" w:rsidRPr="0032209B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32209B">
        <w:rPr>
          <w:rFonts w:ascii="Times New Roman" w:hAnsi="Times New Roman" w:cs="Times New Roman"/>
          <w:sz w:val="28"/>
          <w:szCs w:val="28"/>
        </w:rPr>
        <w:t xml:space="preserve"> siècle a opposé une linguistique de la langue à une linguistique de la parole.</w:t>
      </w:r>
    </w:p>
    <w:p w:rsidR="0032209B" w:rsidRDefault="0032209B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pragmatique, développée à partir des travaux d’Austin (sur les actes de langage - 1955), est une linguistique du discours qui intègre les situations et contextes de communication. Dans la linguistique française, le concept d’énonciation fonde la démarche de la pragmatique.</w:t>
      </w:r>
    </w:p>
    <w:p w:rsidR="00FA6329" w:rsidRDefault="0032209B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Actuellement, de nombreux débats portent sur la nécessité d’introduire dans la description linguistique la </w:t>
      </w:r>
      <w:r w:rsidRPr="0032209B">
        <w:rPr>
          <w:rFonts w:ascii="Times New Roman" w:hAnsi="Times New Roman" w:cs="Times New Roman"/>
          <w:i/>
          <w:sz w:val="28"/>
          <w:szCs w:val="28"/>
        </w:rPr>
        <w:t>pragmatique</w:t>
      </w:r>
      <w:r>
        <w:rPr>
          <w:rFonts w:ascii="Times New Roman" w:hAnsi="Times New Roman" w:cs="Times New Roman"/>
          <w:sz w:val="28"/>
          <w:szCs w:val="28"/>
        </w:rPr>
        <w:t xml:space="preserve">. Celle-ci étudie tout ce qui, dans le sens d’un énoncé, tient à la </w:t>
      </w:r>
      <w:r w:rsidR="00FA6329">
        <w:rPr>
          <w:rFonts w:ascii="Times New Roman" w:hAnsi="Times New Roman" w:cs="Times New Roman"/>
          <w:sz w:val="28"/>
          <w:szCs w:val="28"/>
        </w:rPr>
        <w:t xml:space="preserve">situation dans laquelle l’énoncé est employé, et non à la seule </w:t>
      </w:r>
      <w:r>
        <w:rPr>
          <w:rFonts w:ascii="Times New Roman" w:hAnsi="Times New Roman" w:cs="Times New Roman"/>
          <w:sz w:val="28"/>
          <w:szCs w:val="28"/>
        </w:rPr>
        <w:t>structure linguistique</w:t>
      </w:r>
      <w:r w:rsidR="00FA6329">
        <w:rPr>
          <w:rFonts w:ascii="Times New Roman" w:hAnsi="Times New Roman" w:cs="Times New Roman"/>
          <w:sz w:val="28"/>
          <w:szCs w:val="28"/>
        </w:rPr>
        <w:t xml:space="preserve"> de la phrase utilisée.</w:t>
      </w:r>
    </w:p>
    <w:p w:rsidR="00FA6329" w:rsidRDefault="00FA6329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Depuis 1960, les chercheurs insistent sur l’immense étendue de ce domaine.</w:t>
      </w:r>
    </w:p>
    <w:p w:rsidR="003F7333" w:rsidRDefault="00FA6329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Connaître la situation est nécessaire</w:t>
      </w:r>
      <w:r w:rsidR="006630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par exemple</w:t>
      </w:r>
      <w:r w:rsidR="006630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pour établir le référent désigné par un pronom, l’acte</w:t>
      </w:r>
      <w:r w:rsidR="0032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langage accompli (en disant « </w:t>
      </w:r>
      <w:r w:rsidRPr="0066300E">
        <w:rPr>
          <w:rFonts w:ascii="Times New Roman" w:hAnsi="Times New Roman" w:cs="Times New Roman"/>
          <w:i/>
          <w:sz w:val="28"/>
          <w:szCs w:val="28"/>
        </w:rPr>
        <w:t>je viendrai </w:t>
      </w:r>
      <w:r>
        <w:rPr>
          <w:rFonts w:ascii="Times New Roman" w:hAnsi="Times New Roman" w:cs="Times New Roman"/>
          <w:sz w:val="28"/>
          <w:szCs w:val="28"/>
        </w:rPr>
        <w:t>», le locuteur donne-t-il une information, fait-il une promesse, agit</w:t>
      </w:r>
      <w:r w:rsidR="0066300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-t-il une menace ?)</w:t>
      </w:r>
      <w:r w:rsidR="0032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9B" w:rsidRDefault="003F7333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ne peut pas considérer la pragmatique comme étrangère à la linguistique, sous prétexte qu’elle concerne ce qui s’ajoute du dehors aux phrases de la langue, car le recours à la situation pour l’interprétation est souvent nécessaire.</w:t>
      </w:r>
      <w:r w:rsidR="00322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09B" w:rsidRPr="00C42BA1" w:rsidRDefault="0032209B" w:rsidP="00C42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932" w:rsidRPr="00566932" w:rsidRDefault="00566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932" w:rsidRPr="00566932" w:rsidSect="00566932">
      <w:footerReference w:type="default" r:id="rId8"/>
      <w:pgSz w:w="11906" w:h="16838"/>
      <w:pgMar w:top="993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53" w:rsidRDefault="00BA3653" w:rsidP="000B48BC">
      <w:pPr>
        <w:spacing w:after="0" w:line="240" w:lineRule="auto"/>
      </w:pPr>
      <w:r>
        <w:separator/>
      </w:r>
    </w:p>
  </w:endnote>
  <w:endnote w:type="continuationSeparator" w:id="1">
    <w:p w:rsidR="00BA3653" w:rsidRDefault="00BA3653" w:rsidP="000B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271735"/>
      <w:docPartObj>
        <w:docPartGallery w:val="Page Numbers (Bottom of Page)"/>
        <w:docPartUnique/>
      </w:docPartObj>
    </w:sdtPr>
    <w:sdtContent>
      <w:p w:rsidR="0032209B" w:rsidRDefault="0032209B">
        <w:pPr>
          <w:pStyle w:val="Pieddepage"/>
          <w:jc w:val="center"/>
        </w:pPr>
        <w:fldSimple w:instr=" PAGE   \* MERGEFORMAT ">
          <w:r w:rsidR="0066300E">
            <w:rPr>
              <w:noProof/>
            </w:rPr>
            <w:t>3</w:t>
          </w:r>
        </w:fldSimple>
      </w:p>
    </w:sdtContent>
  </w:sdt>
  <w:p w:rsidR="0032209B" w:rsidRDefault="003220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53" w:rsidRDefault="00BA3653" w:rsidP="000B48BC">
      <w:pPr>
        <w:spacing w:after="0" w:line="240" w:lineRule="auto"/>
      </w:pPr>
      <w:r>
        <w:separator/>
      </w:r>
    </w:p>
  </w:footnote>
  <w:footnote w:type="continuationSeparator" w:id="1">
    <w:p w:rsidR="00BA3653" w:rsidRDefault="00BA3653" w:rsidP="000B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800"/>
    <w:multiLevelType w:val="hybridMultilevel"/>
    <w:tmpl w:val="08FAB4A4"/>
    <w:lvl w:ilvl="0" w:tplc="F196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0912"/>
    <w:multiLevelType w:val="hybridMultilevel"/>
    <w:tmpl w:val="A78C3A6E"/>
    <w:lvl w:ilvl="0" w:tplc="C1A213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71217B"/>
    <w:multiLevelType w:val="hybridMultilevel"/>
    <w:tmpl w:val="5DA86DB2"/>
    <w:lvl w:ilvl="0" w:tplc="BB9870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7B4461"/>
    <w:multiLevelType w:val="hybridMultilevel"/>
    <w:tmpl w:val="7C542C6A"/>
    <w:lvl w:ilvl="0" w:tplc="9516FF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FA711A"/>
    <w:multiLevelType w:val="hybridMultilevel"/>
    <w:tmpl w:val="8BF0D6E4"/>
    <w:lvl w:ilvl="0" w:tplc="C1A21338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32"/>
    <w:rsid w:val="00033EA7"/>
    <w:rsid w:val="000856E7"/>
    <w:rsid w:val="0009350D"/>
    <w:rsid w:val="00097E54"/>
    <w:rsid w:val="000B1F6A"/>
    <w:rsid w:val="000B48BC"/>
    <w:rsid w:val="000F1456"/>
    <w:rsid w:val="00100968"/>
    <w:rsid w:val="00106596"/>
    <w:rsid w:val="00107760"/>
    <w:rsid w:val="001630A7"/>
    <w:rsid w:val="00176074"/>
    <w:rsid w:val="001A2F4D"/>
    <w:rsid w:val="001B73DA"/>
    <w:rsid w:val="001D574A"/>
    <w:rsid w:val="001F1711"/>
    <w:rsid w:val="00202DF6"/>
    <w:rsid w:val="00211467"/>
    <w:rsid w:val="002418B3"/>
    <w:rsid w:val="002563D7"/>
    <w:rsid w:val="00260F76"/>
    <w:rsid w:val="002801D7"/>
    <w:rsid w:val="002A4029"/>
    <w:rsid w:val="002A7E28"/>
    <w:rsid w:val="002B72FE"/>
    <w:rsid w:val="002D7171"/>
    <w:rsid w:val="002E1D4C"/>
    <w:rsid w:val="002E41C6"/>
    <w:rsid w:val="002F5EFF"/>
    <w:rsid w:val="00320E50"/>
    <w:rsid w:val="0032209B"/>
    <w:rsid w:val="00324C4D"/>
    <w:rsid w:val="0034121B"/>
    <w:rsid w:val="0035385F"/>
    <w:rsid w:val="0036478D"/>
    <w:rsid w:val="003A1EC5"/>
    <w:rsid w:val="003F04D8"/>
    <w:rsid w:val="003F7333"/>
    <w:rsid w:val="004905E8"/>
    <w:rsid w:val="004A5851"/>
    <w:rsid w:val="00547878"/>
    <w:rsid w:val="00547CF9"/>
    <w:rsid w:val="00554FE0"/>
    <w:rsid w:val="00566932"/>
    <w:rsid w:val="0059430D"/>
    <w:rsid w:val="005B5F4A"/>
    <w:rsid w:val="005C1D14"/>
    <w:rsid w:val="00631C56"/>
    <w:rsid w:val="006349BD"/>
    <w:rsid w:val="0066300E"/>
    <w:rsid w:val="006930B6"/>
    <w:rsid w:val="006959D3"/>
    <w:rsid w:val="006C3C29"/>
    <w:rsid w:val="006D36F0"/>
    <w:rsid w:val="006F3F1B"/>
    <w:rsid w:val="007403DE"/>
    <w:rsid w:val="00774FFD"/>
    <w:rsid w:val="007825A0"/>
    <w:rsid w:val="007A0CCF"/>
    <w:rsid w:val="008047B5"/>
    <w:rsid w:val="00822CF3"/>
    <w:rsid w:val="008358C4"/>
    <w:rsid w:val="008912B4"/>
    <w:rsid w:val="008C4DDF"/>
    <w:rsid w:val="008D0E30"/>
    <w:rsid w:val="009361DF"/>
    <w:rsid w:val="00964B09"/>
    <w:rsid w:val="00982690"/>
    <w:rsid w:val="0099431F"/>
    <w:rsid w:val="009D231D"/>
    <w:rsid w:val="009E2F55"/>
    <w:rsid w:val="00A1438B"/>
    <w:rsid w:val="00A21B29"/>
    <w:rsid w:val="00A37DB5"/>
    <w:rsid w:val="00AF272F"/>
    <w:rsid w:val="00B14827"/>
    <w:rsid w:val="00B74B79"/>
    <w:rsid w:val="00B967B1"/>
    <w:rsid w:val="00BA3653"/>
    <w:rsid w:val="00BA68CD"/>
    <w:rsid w:val="00BB70AD"/>
    <w:rsid w:val="00BE6EE2"/>
    <w:rsid w:val="00C42BA1"/>
    <w:rsid w:val="00C53ACB"/>
    <w:rsid w:val="00C76D7D"/>
    <w:rsid w:val="00C91DB0"/>
    <w:rsid w:val="00CA3CA2"/>
    <w:rsid w:val="00D26D12"/>
    <w:rsid w:val="00D27524"/>
    <w:rsid w:val="00D303F5"/>
    <w:rsid w:val="00D62413"/>
    <w:rsid w:val="00D845C7"/>
    <w:rsid w:val="00D95F31"/>
    <w:rsid w:val="00DF3C43"/>
    <w:rsid w:val="00E8577F"/>
    <w:rsid w:val="00E9724E"/>
    <w:rsid w:val="00EA1571"/>
    <w:rsid w:val="00EC72C8"/>
    <w:rsid w:val="00F00B6C"/>
    <w:rsid w:val="00F73E11"/>
    <w:rsid w:val="00F755C6"/>
    <w:rsid w:val="00F84D13"/>
    <w:rsid w:val="00F86086"/>
    <w:rsid w:val="00FA55A3"/>
    <w:rsid w:val="00FA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E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B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BC"/>
  </w:style>
  <w:style w:type="paragraph" w:styleId="Pieddepage">
    <w:name w:val="footer"/>
    <w:basedOn w:val="Normal"/>
    <w:link w:val="PieddepageCar"/>
    <w:uiPriority w:val="99"/>
    <w:unhideWhenUsed/>
    <w:rsid w:val="000B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45C3-7472-42B0-998B-C2FCEBAC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2</cp:revision>
  <dcterms:created xsi:type="dcterms:W3CDTF">2021-03-06T23:15:00Z</dcterms:created>
  <dcterms:modified xsi:type="dcterms:W3CDTF">2021-03-06T23:15:00Z</dcterms:modified>
</cp:coreProperties>
</file>