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17FC" w:rsidRDefault="005C17FC" w:rsidP="005C17FC">
      <w:pPr>
        <w:spacing w:after="0"/>
        <w:jc w:val="both"/>
        <w:rPr>
          <w:rFonts w:asciiTheme="majorBidi" w:hAnsiTheme="majorBidi" w:cstheme="majorBidi"/>
          <w:sz w:val="26"/>
          <w:szCs w:val="26"/>
        </w:rPr>
      </w:pPr>
      <w:r w:rsidRPr="002513BC">
        <w:rPr>
          <w:rFonts w:asciiTheme="majorBidi" w:hAnsiTheme="majorBidi" w:cstheme="majorBidi"/>
          <w:b/>
          <w:bCs/>
          <w:sz w:val="26"/>
          <w:szCs w:val="26"/>
          <w:u w:val="single"/>
        </w:rPr>
        <w:t>Contenu du semestre2</w:t>
      </w:r>
      <w:r>
        <w:rPr>
          <w:rFonts w:asciiTheme="majorBidi" w:hAnsiTheme="majorBidi" w:cstheme="majorBidi"/>
          <w:b/>
          <w:bCs/>
          <w:sz w:val="26"/>
          <w:szCs w:val="26"/>
          <w:u w:val="single"/>
        </w:rPr>
        <w:t> :</w:t>
      </w:r>
      <w:r w:rsidRPr="00BD6348">
        <w:rPr>
          <w:rFonts w:asciiTheme="majorBidi" w:hAnsiTheme="majorBidi" w:cstheme="majorBidi"/>
          <w:bCs/>
          <w:sz w:val="26"/>
          <w:szCs w:val="26"/>
        </w:rPr>
        <w:t xml:space="preserve">   </w:t>
      </w:r>
      <w:r>
        <w:rPr>
          <w:rFonts w:asciiTheme="majorBidi" w:hAnsiTheme="majorBidi" w:cstheme="majorBidi"/>
          <w:sz w:val="26"/>
          <w:szCs w:val="26"/>
        </w:rPr>
        <w:t xml:space="preserve">La littérature postcoloniale </w:t>
      </w:r>
      <w:r w:rsidR="0051040C">
        <w:rPr>
          <w:rFonts w:asciiTheme="majorBidi" w:hAnsiTheme="majorBidi" w:cstheme="majorBidi"/>
          <w:sz w:val="26"/>
          <w:szCs w:val="26"/>
        </w:rPr>
        <w:t>(</w:t>
      </w:r>
      <w:r>
        <w:rPr>
          <w:rFonts w:asciiTheme="majorBidi" w:hAnsiTheme="majorBidi" w:cstheme="majorBidi"/>
          <w:sz w:val="26"/>
          <w:szCs w:val="26"/>
        </w:rPr>
        <w:t>Cours et TD. assurés par Mme Z.NASRI)</w:t>
      </w:r>
    </w:p>
    <w:p w:rsidR="005C17FC" w:rsidRDefault="005C17FC" w:rsidP="005C17FC">
      <w:pPr>
        <w:spacing w:after="0"/>
        <w:jc w:val="both"/>
        <w:rPr>
          <w:rFonts w:asciiTheme="majorBidi" w:hAnsiTheme="majorBidi" w:cstheme="majorBidi"/>
          <w:sz w:val="26"/>
          <w:szCs w:val="26"/>
        </w:rPr>
      </w:pPr>
    </w:p>
    <w:p w:rsidR="005C17FC" w:rsidRDefault="005C17FC" w:rsidP="005C17FC">
      <w:pPr>
        <w:spacing w:after="0"/>
        <w:jc w:val="both"/>
        <w:rPr>
          <w:rFonts w:asciiTheme="majorBidi" w:hAnsiTheme="majorBidi" w:cstheme="majorBidi"/>
          <w:sz w:val="26"/>
          <w:szCs w:val="26"/>
        </w:rPr>
      </w:pPr>
      <w:r>
        <w:rPr>
          <w:rFonts w:asciiTheme="majorBidi" w:hAnsiTheme="majorBidi" w:cstheme="majorBidi"/>
          <w:sz w:val="26"/>
          <w:szCs w:val="26"/>
        </w:rPr>
        <w:t>Trois axes principaux à développer ultérieurement :</w:t>
      </w:r>
    </w:p>
    <w:p w:rsidR="005C17FC" w:rsidRDefault="005C17FC" w:rsidP="005C17FC">
      <w:pPr>
        <w:spacing w:after="0"/>
        <w:jc w:val="both"/>
        <w:rPr>
          <w:rFonts w:asciiTheme="majorBidi" w:hAnsiTheme="majorBidi" w:cstheme="majorBidi"/>
          <w:sz w:val="26"/>
          <w:szCs w:val="26"/>
        </w:rPr>
      </w:pPr>
    </w:p>
    <w:p w:rsidR="005C17FC" w:rsidRDefault="005C17FC" w:rsidP="005C17FC">
      <w:pPr>
        <w:spacing w:after="0"/>
        <w:jc w:val="both"/>
        <w:rPr>
          <w:rFonts w:asciiTheme="majorBidi" w:hAnsiTheme="majorBidi" w:cstheme="majorBidi"/>
          <w:sz w:val="26"/>
          <w:szCs w:val="26"/>
        </w:rPr>
      </w:pPr>
      <w:r>
        <w:rPr>
          <w:rFonts w:asciiTheme="majorBidi" w:hAnsiTheme="majorBidi" w:cstheme="majorBidi"/>
          <w:sz w:val="26"/>
          <w:szCs w:val="26"/>
        </w:rPr>
        <w:t>1]  La pensée anticoloniale</w:t>
      </w:r>
    </w:p>
    <w:p w:rsidR="005C17FC" w:rsidRDefault="005C17FC" w:rsidP="005C17FC">
      <w:pPr>
        <w:spacing w:after="0"/>
        <w:jc w:val="both"/>
        <w:rPr>
          <w:rFonts w:asciiTheme="majorBidi" w:hAnsiTheme="majorBidi" w:cstheme="majorBidi"/>
          <w:sz w:val="26"/>
          <w:szCs w:val="26"/>
        </w:rPr>
      </w:pPr>
      <w:r>
        <w:rPr>
          <w:rFonts w:asciiTheme="majorBidi" w:hAnsiTheme="majorBidi" w:cstheme="majorBidi"/>
          <w:sz w:val="26"/>
          <w:szCs w:val="26"/>
        </w:rPr>
        <w:t>2] La pensée de l’entre-deux</w:t>
      </w:r>
    </w:p>
    <w:p w:rsidR="005C17FC" w:rsidRDefault="005C17FC" w:rsidP="005C17FC">
      <w:pPr>
        <w:spacing w:after="0"/>
        <w:jc w:val="both"/>
        <w:rPr>
          <w:rFonts w:asciiTheme="majorBidi" w:hAnsiTheme="majorBidi" w:cstheme="majorBidi"/>
          <w:sz w:val="26"/>
          <w:szCs w:val="26"/>
        </w:rPr>
      </w:pPr>
      <w:r>
        <w:rPr>
          <w:rFonts w:asciiTheme="majorBidi" w:hAnsiTheme="majorBidi" w:cstheme="majorBidi"/>
          <w:sz w:val="26"/>
          <w:szCs w:val="26"/>
        </w:rPr>
        <w:t>3] La pensée hybride</w:t>
      </w:r>
    </w:p>
    <w:p w:rsidR="005C17FC" w:rsidRDefault="005C17FC" w:rsidP="005C17FC">
      <w:pPr>
        <w:spacing w:after="0"/>
        <w:jc w:val="both"/>
        <w:rPr>
          <w:rFonts w:asciiTheme="majorBidi" w:hAnsiTheme="majorBidi" w:cstheme="majorBidi"/>
          <w:sz w:val="26"/>
          <w:szCs w:val="26"/>
        </w:rPr>
      </w:pPr>
    </w:p>
    <w:p w:rsidR="005C17FC" w:rsidRDefault="005C17FC" w:rsidP="005C17FC">
      <w:pPr>
        <w:spacing w:after="0"/>
        <w:jc w:val="both"/>
        <w:rPr>
          <w:rFonts w:asciiTheme="majorBidi" w:hAnsiTheme="majorBidi" w:cstheme="majorBidi"/>
          <w:sz w:val="26"/>
          <w:szCs w:val="26"/>
        </w:rPr>
      </w:pPr>
    </w:p>
    <w:p w:rsidR="005C17FC" w:rsidRPr="00955FE2" w:rsidRDefault="005C17FC" w:rsidP="005C17FC">
      <w:pPr>
        <w:spacing w:after="0"/>
        <w:jc w:val="both"/>
        <w:rPr>
          <w:rFonts w:asciiTheme="majorBidi" w:hAnsiTheme="majorBidi" w:cstheme="majorBidi"/>
          <w:b/>
          <w:sz w:val="26"/>
          <w:szCs w:val="26"/>
        </w:rPr>
      </w:pPr>
      <w:r>
        <w:rPr>
          <w:rFonts w:asciiTheme="majorBidi" w:hAnsiTheme="majorBidi" w:cstheme="majorBidi"/>
          <w:b/>
          <w:sz w:val="26"/>
          <w:szCs w:val="26"/>
        </w:rPr>
        <w:t>Voici q</w:t>
      </w:r>
      <w:r w:rsidRPr="00955FE2">
        <w:rPr>
          <w:rFonts w:asciiTheme="majorBidi" w:hAnsiTheme="majorBidi" w:cstheme="majorBidi"/>
          <w:b/>
          <w:sz w:val="26"/>
          <w:szCs w:val="26"/>
        </w:rPr>
        <w:t>uelques références bibliographiques </w:t>
      </w:r>
      <w:r>
        <w:rPr>
          <w:rFonts w:asciiTheme="majorBidi" w:hAnsiTheme="majorBidi" w:cstheme="majorBidi"/>
          <w:b/>
          <w:sz w:val="26"/>
          <w:szCs w:val="26"/>
        </w:rPr>
        <w:t>à consulter :</w:t>
      </w:r>
    </w:p>
    <w:p w:rsidR="005C17FC" w:rsidRDefault="005C17FC" w:rsidP="005C17FC">
      <w:pPr>
        <w:pStyle w:val="noticebibliooeuvre"/>
        <w:shd w:val="clear" w:color="auto" w:fill="FFFFFF"/>
        <w:spacing w:before="0" w:beforeAutospacing="0" w:after="0" w:afterAutospacing="0"/>
      </w:pPr>
    </w:p>
    <w:p w:rsidR="005C17FC" w:rsidRPr="0086529F" w:rsidRDefault="005C17FC" w:rsidP="005C17FC">
      <w:pPr>
        <w:pStyle w:val="noticebibliooeuvre"/>
        <w:shd w:val="clear" w:color="auto" w:fill="FFFFFF"/>
        <w:spacing w:before="0" w:beforeAutospacing="0" w:after="0" w:afterAutospacing="0"/>
      </w:pPr>
      <w:proofErr w:type="spellStart"/>
      <w:r w:rsidRPr="0086529F">
        <w:t>Bhabha</w:t>
      </w:r>
      <w:proofErr w:type="spellEnd"/>
      <w:r w:rsidRPr="0086529F">
        <w:t xml:space="preserve">, </w:t>
      </w:r>
      <w:proofErr w:type="spellStart"/>
      <w:r w:rsidRPr="0086529F">
        <w:t>Homi</w:t>
      </w:r>
      <w:proofErr w:type="spellEnd"/>
      <w:r w:rsidRPr="0086529F">
        <w:t xml:space="preserve"> K. (2007), </w:t>
      </w:r>
      <w:r w:rsidRPr="0086529F">
        <w:rPr>
          <w:rStyle w:val="Accentuation"/>
        </w:rPr>
        <w:t>Les Lieux de la culture : une théorie postcoloniale</w:t>
      </w:r>
      <w:r w:rsidRPr="0086529F">
        <w:t>, Paris : Payot.</w:t>
      </w:r>
    </w:p>
    <w:p w:rsidR="005C17FC" w:rsidRPr="0086529F" w:rsidRDefault="005C17FC" w:rsidP="005C17FC">
      <w:pPr>
        <w:spacing w:after="0"/>
        <w:jc w:val="both"/>
        <w:rPr>
          <w:rFonts w:asciiTheme="majorBidi" w:hAnsiTheme="majorBidi" w:cstheme="majorBidi"/>
          <w:sz w:val="24"/>
          <w:szCs w:val="24"/>
        </w:rPr>
      </w:pPr>
      <w:r w:rsidRPr="0086529F">
        <w:rPr>
          <w:rFonts w:asciiTheme="majorBidi" w:hAnsiTheme="majorBidi" w:cstheme="majorBidi"/>
          <w:sz w:val="24"/>
          <w:szCs w:val="24"/>
        </w:rPr>
        <w:t>Bouchard, G</w:t>
      </w:r>
      <w:proofErr w:type="gramStart"/>
      <w:r w:rsidRPr="0086529F">
        <w:rPr>
          <w:rFonts w:asciiTheme="majorBidi" w:hAnsiTheme="majorBidi" w:cstheme="majorBidi"/>
          <w:sz w:val="24"/>
          <w:szCs w:val="24"/>
        </w:rPr>
        <w:t>.(</w:t>
      </w:r>
      <w:proofErr w:type="gramEnd"/>
      <w:r w:rsidRPr="0086529F">
        <w:rPr>
          <w:rFonts w:asciiTheme="majorBidi" w:hAnsiTheme="majorBidi" w:cstheme="majorBidi"/>
          <w:sz w:val="24"/>
          <w:szCs w:val="24"/>
        </w:rPr>
        <w:t xml:space="preserve">2012), </w:t>
      </w:r>
      <w:r w:rsidRPr="0086529F">
        <w:rPr>
          <w:rFonts w:asciiTheme="majorBidi" w:hAnsiTheme="majorBidi" w:cstheme="majorBidi"/>
          <w:i/>
          <w:sz w:val="24"/>
          <w:szCs w:val="24"/>
        </w:rPr>
        <w:t>L’</w:t>
      </w:r>
      <w:proofErr w:type="spellStart"/>
      <w:r w:rsidRPr="0086529F">
        <w:rPr>
          <w:rFonts w:asciiTheme="majorBidi" w:hAnsiTheme="majorBidi" w:cstheme="majorBidi"/>
          <w:i/>
          <w:sz w:val="24"/>
          <w:szCs w:val="24"/>
        </w:rPr>
        <w:t>Interculturalisme</w:t>
      </w:r>
      <w:proofErr w:type="spellEnd"/>
      <w:r w:rsidRPr="0086529F">
        <w:rPr>
          <w:rFonts w:asciiTheme="majorBidi" w:hAnsiTheme="majorBidi" w:cstheme="majorBidi"/>
          <w:i/>
          <w:sz w:val="24"/>
          <w:szCs w:val="24"/>
        </w:rPr>
        <w:t>. Un point de vue québécois</w:t>
      </w:r>
      <w:r w:rsidRPr="0086529F">
        <w:rPr>
          <w:rFonts w:asciiTheme="majorBidi" w:hAnsiTheme="majorBidi" w:cstheme="majorBidi"/>
          <w:sz w:val="24"/>
          <w:szCs w:val="24"/>
        </w:rPr>
        <w:t>, Montréal : Boréal</w:t>
      </w:r>
    </w:p>
    <w:p w:rsidR="005C17FC" w:rsidRDefault="005C17FC" w:rsidP="005C17FC">
      <w:pPr>
        <w:spacing w:after="0"/>
        <w:jc w:val="both"/>
        <w:rPr>
          <w:rFonts w:asciiTheme="majorBidi" w:hAnsiTheme="majorBidi" w:cstheme="majorBidi"/>
          <w:sz w:val="24"/>
          <w:szCs w:val="24"/>
        </w:rPr>
      </w:pPr>
      <w:r w:rsidRPr="009E4720">
        <w:rPr>
          <w:rFonts w:asciiTheme="majorBidi" w:hAnsiTheme="majorBidi" w:cstheme="majorBidi"/>
          <w:sz w:val="24"/>
          <w:szCs w:val="24"/>
        </w:rPr>
        <w:t xml:space="preserve">Fanon, F. ([1968], 2001), </w:t>
      </w:r>
      <w:r w:rsidRPr="009E4720">
        <w:rPr>
          <w:rFonts w:asciiTheme="majorBidi" w:hAnsiTheme="majorBidi" w:cstheme="majorBidi"/>
          <w:i/>
          <w:sz w:val="24"/>
          <w:szCs w:val="24"/>
        </w:rPr>
        <w:t>Les Damnés de la terre</w:t>
      </w:r>
      <w:r w:rsidRPr="009E4720">
        <w:rPr>
          <w:rFonts w:asciiTheme="majorBidi" w:hAnsiTheme="majorBidi" w:cstheme="majorBidi"/>
          <w:sz w:val="24"/>
          <w:szCs w:val="24"/>
        </w:rPr>
        <w:t>, Paris : La Découverte.</w:t>
      </w:r>
    </w:p>
    <w:p w:rsidR="005C17FC" w:rsidRDefault="005C17FC" w:rsidP="005C17FC">
      <w:pPr>
        <w:spacing w:after="0"/>
        <w:jc w:val="both"/>
        <w:rPr>
          <w:rFonts w:asciiTheme="majorBidi" w:hAnsiTheme="majorBidi" w:cstheme="majorBidi"/>
          <w:sz w:val="24"/>
          <w:szCs w:val="24"/>
        </w:rPr>
      </w:pPr>
      <w:r>
        <w:rPr>
          <w:rFonts w:asciiTheme="majorBidi" w:hAnsiTheme="majorBidi" w:cstheme="majorBidi"/>
          <w:sz w:val="24"/>
          <w:szCs w:val="24"/>
        </w:rPr>
        <w:t xml:space="preserve">Glissant, E. (1990), </w:t>
      </w:r>
      <w:r>
        <w:rPr>
          <w:rFonts w:asciiTheme="majorBidi" w:hAnsiTheme="majorBidi" w:cstheme="majorBidi"/>
          <w:i/>
          <w:sz w:val="24"/>
          <w:szCs w:val="24"/>
        </w:rPr>
        <w:t>Poétique de la relation, Poétique III</w:t>
      </w:r>
      <w:r>
        <w:rPr>
          <w:rFonts w:asciiTheme="majorBidi" w:hAnsiTheme="majorBidi" w:cstheme="majorBidi"/>
          <w:sz w:val="24"/>
          <w:szCs w:val="24"/>
        </w:rPr>
        <w:t>, Paris : Gallimard.</w:t>
      </w:r>
    </w:p>
    <w:p w:rsidR="005C17FC" w:rsidRDefault="005C17FC" w:rsidP="005C17FC">
      <w:pPr>
        <w:spacing w:after="0"/>
        <w:jc w:val="both"/>
        <w:rPr>
          <w:rFonts w:asciiTheme="majorBidi" w:hAnsiTheme="majorBidi" w:cstheme="majorBidi"/>
          <w:sz w:val="24"/>
          <w:szCs w:val="24"/>
        </w:rPr>
      </w:pPr>
      <w:r>
        <w:rPr>
          <w:rFonts w:asciiTheme="majorBidi" w:hAnsiTheme="majorBidi" w:cstheme="majorBidi"/>
          <w:sz w:val="24"/>
          <w:szCs w:val="24"/>
        </w:rPr>
        <w:t xml:space="preserve">Glissant, E. (1993), </w:t>
      </w:r>
      <w:r>
        <w:rPr>
          <w:rFonts w:asciiTheme="majorBidi" w:hAnsiTheme="majorBidi" w:cstheme="majorBidi"/>
          <w:i/>
          <w:sz w:val="24"/>
          <w:szCs w:val="24"/>
        </w:rPr>
        <w:t>Tout-monde</w:t>
      </w:r>
      <w:r>
        <w:rPr>
          <w:rFonts w:asciiTheme="majorBidi" w:hAnsiTheme="majorBidi" w:cstheme="majorBidi"/>
          <w:sz w:val="24"/>
          <w:szCs w:val="24"/>
        </w:rPr>
        <w:t>, Paris : Gallimard.</w:t>
      </w:r>
    </w:p>
    <w:p w:rsidR="005C17FC" w:rsidRDefault="005C17FC" w:rsidP="005C17FC">
      <w:pPr>
        <w:spacing w:after="0"/>
        <w:jc w:val="both"/>
        <w:rPr>
          <w:rFonts w:asciiTheme="majorBidi" w:hAnsiTheme="majorBidi" w:cstheme="majorBidi"/>
          <w:sz w:val="24"/>
          <w:szCs w:val="24"/>
        </w:rPr>
      </w:pPr>
    </w:p>
    <w:p w:rsidR="005C17FC" w:rsidRPr="00E9684E" w:rsidRDefault="005C17FC" w:rsidP="005C17FC">
      <w:pPr>
        <w:spacing w:after="0"/>
        <w:jc w:val="both"/>
        <w:rPr>
          <w:rFonts w:asciiTheme="majorBidi" w:hAnsiTheme="majorBidi" w:cstheme="majorBidi"/>
          <w:sz w:val="24"/>
          <w:szCs w:val="24"/>
        </w:rPr>
      </w:pPr>
      <w:r>
        <w:rPr>
          <w:rFonts w:asciiTheme="majorBidi" w:hAnsiTheme="majorBidi" w:cstheme="majorBidi"/>
          <w:sz w:val="24"/>
          <w:szCs w:val="24"/>
        </w:rPr>
        <w:t xml:space="preserve">Pour compléter votre lecture, cliquez sur le lien ci-dessous: </w:t>
      </w:r>
    </w:p>
    <w:p w:rsidR="005C17FC" w:rsidRPr="00E9684E" w:rsidRDefault="005C17FC" w:rsidP="005C17FC">
      <w:pPr>
        <w:spacing w:after="0"/>
        <w:jc w:val="both"/>
        <w:rPr>
          <w:rFonts w:asciiTheme="majorBidi" w:hAnsiTheme="majorBidi" w:cstheme="majorBidi"/>
          <w:sz w:val="24"/>
          <w:szCs w:val="24"/>
        </w:rPr>
      </w:pPr>
    </w:p>
    <w:p w:rsidR="005C17FC" w:rsidRPr="003E2B01" w:rsidRDefault="005C17FC" w:rsidP="005C17FC">
      <w:pPr>
        <w:spacing w:after="0"/>
        <w:jc w:val="both"/>
        <w:rPr>
          <w:rFonts w:asciiTheme="majorBidi" w:hAnsiTheme="majorBidi" w:cstheme="majorBidi"/>
          <w:sz w:val="24"/>
          <w:szCs w:val="24"/>
        </w:rPr>
      </w:pPr>
      <w:r w:rsidRPr="003E2B01">
        <w:rPr>
          <w:rFonts w:asciiTheme="majorBidi" w:hAnsiTheme="majorBidi" w:cstheme="majorBidi"/>
          <w:sz w:val="24"/>
          <w:szCs w:val="24"/>
        </w:rPr>
        <w:t>-</w:t>
      </w:r>
      <w:proofErr w:type="spellStart"/>
      <w:r w:rsidRPr="003E2B01">
        <w:rPr>
          <w:rFonts w:asciiTheme="majorBidi" w:hAnsiTheme="majorBidi" w:cstheme="majorBidi"/>
          <w:sz w:val="24"/>
          <w:szCs w:val="24"/>
        </w:rPr>
        <w:t>Cottias</w:t>
      </w:r>
      <w:proofErr w:type="spellEnd"/>
      <w:r w:rsidRPr="003E2B01">
        <w:rPr>
          <w:rFonts w:asciiTheme="majorBidi" w:hAnsiTheme="majorBidi" w:cstheme="majorBidi"/>
          <w:sz w:val="24"/>
          <w:szCs w:val="24"/>
        </w:rPr>
        <w:t>, M., (2011), “ Edouard Glissant, de la créolisation au Tout-Monde</w:t>
      </w:r>
    </w:p>
    <w:p w:rsidR="005C17FC" w:rsidRPr="00C07154" w:rsidRDefault="005C17FC" w:rsidP="005C17FC">
      <w:pPr>
        <w:spacing w:after="0"/>
        <w:jc w:val="both"/>
        <w:rPr>
          <w:rFonts w:asciiTheme="majorBidi" w:hAnsiTheme="majorBidi" w:cstheme="majorBidi"/>
          <w:sz w:val="24"/>
          <w:szCs w:val="24"/>
        </w:rPr>
      </w:pPr>
      <w:hyperlink r:id="rId4" w:history="1">
        <w:r w:rsidRPr="00C07154">
          <w:rPr>
            <w:rStyle w:val="Lienhypertexte"/>
            <w:rFonts w:asciiTheme="majorBidi" w:hAnsiTheme="majorBidi" w:cstheme="majorBidi"/>
            <w:sz w:val="24"/>
            <w:szCs w:val="24"/>
          </w:rPr>
          <w:t>https://journals.openedition.org/nuevomundo/61823</w:t>
        </w:r>
      </w:hyperlink>
    </w:p>
    <w:p w:rsidR="005C17FC" w:rsidRPr="00C07154" w:rsidRDefault="005C17FC" w:rsidP="005C17FC">
      <w:pPr>
        <w:spacing w:after="0"/>
        <w:jc w:val="both"/>
        <w:rPr>
          <w:rFonts w:asciiTheme="majorBidi" w:hAnsiTheme="majorBidi" w:cstheme="majorBidi"/>
          <w:sz w:val="24"/>
          <w:szCs w:val="24"/>
        </w:rPr>
      </w:pPr>
    </w:p>
    <w:p w:rsidR="005C17FC" w:rsidRDefault="005C17FC" w:rsidP="005C17FC">
      <w:pPr>
        <w:spacing w:after="0"/>
        <w:jc w:val="both"/>
        <w:rPr>
          <w:rFonts w:asciiTheme="majorBidi" w:hAnsiTheme="majorBidi" w:cstheme="majorBidi"/>
          <w:sz w:val="26"/>
          <w:szCs w:val="26"/>
        </w:rPr>
      </w:pPr>
      <w:r w:rsidRPr="006E331C">
        <w:rPr>
          <w:rFonts w:asciiTheme="majorBidi" w:hAnsiTheme="majorBidi" w:cstheme="majorBidi"/>
          <w:b/>
          <w:sz w:val="26"/>
          <w:szCs w:val="26"/>
        </w:rPr>
        <w:t>Question de réflexion</w:t>
      </w:r>
      <w:r>
        <w:rPr>
          <w:rFonts w:asciiTheme="majorBidi" w:hAnsiTheme="majorBidi" w:cstheme="majorBidi"/>
          <w:sz w:val="26"/>
          <w:szCs w:val="26"/>
        </w:rPr>
        <w:t xml:space="preserve"> : </w:t>
      </w:r>
    </w:p>
    <w:p w:rsidR="005C17FC" w:rsidRDefault="005C17FC" w:rsidP="005C17FC">
      <w:pPr>
        <w:spacing w:after="0"/>
        <w:jc w:val="both"/>
        <w:rPr>
          <w:rFonts w:asciiTheme="majorBidi" w:hAnsiTheme="majorBidi" w:cstheme="majorBidi"/>
          <w:sz w:val="26"/>
          <w:szCs w:val="26"/>
        </w:rPr>
      </w:pPr>
    </w:p>
    <w:p w:rsidR="005C17FC" w:rsidRDefault="005C17FC" w:rsidP="005C17FC">
      <w:pPr>
        <w:rPr>
          <w:rFonts w:asciiTheme="majorBidi" w:eastAsia="Times New Roman" w:hAnsiTheme="majorBidi" w:cstheme="majorBidi"/>
          <w:sz w:val="26"/>
          <w:szCs w:val="26"/>
          <w:lang w:eastAsia="fr-FR"/>
        </w:rPr>
      </w:pPr>
      <w:r>
        <w:rPr>
          <w:rFonts w:asciiTheme="majorBidi" w:eastAsia="Times New Roman" w:hAnsiTheme="majorBidi" w:cstheme="majorBidi"/>
          <w:sz w:val="26"/>
          <w:szCs w:val="26"/>
          <w:lang w:eastAsia="fr-FR"/>
        </w:rPr>
        <w:t xml:space="preserve">Dans son roman, </w:t>
      </w:r>
      <w:r w:rsidRPr="00EF4478">
        <w:rPr>
          <w:rFonts w:asciiTheme="majorBidi" w:eastAsia="Times New Roman" w:hAnsiTheme="majorBidi" w:cstheme="majorBidi"/>
          <w:i/>
          <w:sz w:val="26"/>
          <w:szCs w:val="26"/>
          <w:lang w:eastAsia="fr-FR"/>
        </w:rPr>
        <w:t xml:space="preserve">Le Dit de </w:t>
      </w:r>
      <w:proofErr w:type="spellStart"/>
      <w:r w:rsidRPr="00EF4478">
        <w:rPr>
          <w:rFonts w:asciiTheme="majorBidi" w:eastAsia="Times New Roman" w:hAnsiTheme="majorBidi" w:cstheme="majorBidi"/>
          <w:i/>
          <w:sz w:val="26"/>
          <w:szCs w:val="26"/>
          <w:lang w:eastAsia="fr-FR"/>
        </w:rPr>
        <w:t>Tianyi</w:t>
      </w:r>
      <w:proofErr w:type="spellEnd"/>
      <w:r>
        <w:rPr>
          <w:rFonts w:asciiTheme="majorBidi" w:eastAsia="Times New Roman" w:hAnsiTheme="majorBidi" w:cstheme="majorBidi"/>
          <w:sz w:val="26"/>
          <w:szCs w:val="26"/>
          <w:lang w:eastAsia="fr-FR"/>
        </w:rPr>
        <w:t>, publiée en 1998 aux éditions Livre de Poche, François Cheng, l’écrivain et poète d’origine chinoise, donne la parole au peintre Tian-yi pour nous parler de son séjour à Paris et voilà ce qu’il en dit :</w:t>
      </w:r>
    </w:p>
    <w:p w:rsidR="005C17FC" w:rsidRDefault="005C17FC" w:rsidP="005C17FC">
      <w:pPr>
        <w:jc w:val="both"/>
        <w:rPr>
          <w:rFonts w:ascii="Times New Roman" w:hAnsi="Times New Roman" w:cs="Times New Roman"/>
          <w:sz w:val="26"/>
          <w:szCs w:val="26"/>
        </w:rPr>
      </w:pPr>
      <w:r w:rsidRPr="00EF4478">
        <w:rPr>
          <w:rFonts w:ascii="Times New Roman" w:hAnsi="Times New Roman" w:cs="Times New Roman"/>
          <w:sz w:val="26"/>
          <w:szCs w:val="26"/>
        </w:rPr>
        <w:t>« </w:t>
      </w:r>
      <w:r w:rsidRPr="004321AB">
        <w:rPr>
          <w:rFonts w:ascii="Times New Roman" w:hAnsi="Times New Roman" w:cs="Times New Roman"/>
          <w:i/>
          <w:sz w:val="26"/>
          <w:szCs w:val="26"/>
        </w:rPr>
        <w:t xml:space="preserve">À Paris, j’éprouvais pour la première fois mon étrangeté, accentuée encore par mon statut d’étranger (…) Plus rien ne semblait garantir mon identité ni justifier ma nécessité d’être là. Pire qu’exclu, je me sentais séparé. Séparé </w:t>
      </w:r>
      <w:proofErr w:type="gramStart"/>
      <w:r w:rsidRPr="004321AB">
        <w:rPr>
          <w:rFonts w:ascii="Times New Roman" w:hAnsi="Times New Roman" w:cs="Times New Roman"/>
          <w:i/>
          <w:sz w:val="26"/>
          <w:szCs w:val="26"/>
        </w:rPr>
        <w:t>des autres,  séparé</w:t>
      </w:r>
      <w:proofErr w:type="gramEnd"/>
      <w:r w:rsidRPr="004321AB">
        <w:rPr>
          <w:rFonts w:ascii="Times New Roman" w:hAnsi="Times New Roman" w:cs="Times New Roman"/>
          <w:i/>
          <w:sz w:val="26"/>
          <w:szCs w:val="26"/>
        </w:rPr>
        <w:t xml:space="preserve"> de soi, séparé de tout. Je suis venu ici pour apprendre la peinture. J’affronte un métier qui ne s’apprend pas : exister (…)</w:t>
      </w:r>
      <w:proofErr w:type="gramStart"/>
      <w:r w:rsidRPr="004321AB">
        <w:rPr>
          <w:rFonts w:ascii="Times New Roman" w:hAnsi="Times New Roman" w:cs="Times New Roman"/>
          <w:i/>
          <w:sz w:val="26"/>
          <w:szCs w:val="26"/>
        </w:rPr>
        <w:t>.“</w:t>
      </w:r>
      <w:proofErr w:type="gramEnd"/>
      <w:r w:rsidRPr="004321AB">
        <w:rPr>
          <w:rFonts w:ascii="Times New Roman" w:hAnsi="Times New Roman" w:cs="Times New Roman"/>
          <w:i/>
          <w:sz w:val="26"/>
          <w:szCs w:val="26"/>
        </w:rPr>
        <w:t xml:space="preserve"> L’enfer c’est les autres”, pour moi, au contraire, l’enfer, je le vérifiais à mes dépens, c’est d’être toujours autre soi-même, au point d’être de nulle part</w:t>
      </w:r>
      <w:r w:rsidRPr="00EF4478">
        <w:rPr>
          <w:rFonts w:ascii="Times New Roman" w:hAnsi="Times New Roman" w:cs="Times New Roman"/>
          <w:sz w:val="26"/>
          <w:szCs w:val="26"/>
        </w:rPr>
        <w:t>.» (p.212-213)</w:t>
      </w:r>
    </w:p>
    <w:p w:rsidR="005C17FC" w:rsidRDefault="005C17FC" w:rsidP="005C17FC">
      <w:pPr>
        <w:spacing w:after="0"/>
        <w:jc w:val="both"/>
        <w:rPr>
          <w:rFonts w:ascii="Times New Roman" w:hAnsi="Times New Roman" w:cs="Times New Roman"/>
          <w:sz w:val="26"/>
          <w:szCs w:val="26"/>
        </w:rPr>
      </w:pPr>
      <w:r>
        <w:rPr>
          <w:rFonts w:ascii="Times New Roman" w:hAnsi="Times New Roman" w:cs="Times New Roman"/>
          <w:sz w:val="26"/>
          <w:szCs w:val="26"/>
        </w:rPr>
        <w:t xml:space="preserve">Par ces propos, Tian-yi affirme qu’il n’est pas la même personne en France et en Chine. On comprend aussi qu’il est difficile de penser le vivre-ensemble à travers le seul prisme de la culture occidentale. </w:t>
      </w:r>
    </w:p>
    <w:p w:rsidR="005C17FC" w:rsidRPr="00FA1BD5" w:rsidRDefault="005C17FC" w:rsidP="005C17FC">
      <w:pPr>
        <w:spacing w:after="0"/>
        <w:jc w:val="both"/>
        <w:rPr>
          <w:rFonts w:ascii="Times New Roman" w:hAnsi="Times New Roman" w:cs="Times New Roman"/>
          <w:b/>
          <w:sz w:val="26"/>
          <w:szCs w:val="26"/>
        </w:rPr>
      </w:pPr>
      <w:r>
        <w:rPr>
          <w:rFonts w:ascii="Times New Roman" w:hAnsi="Times New Roman" w:cs="Times New Roman"/>
          <w:sz w:val="26"/>
          <w:szCs w:val="26"/>
        </w:rPr>
        <w:t xml:space="preserve">Que cela soit </w:t>
      </w:r>
      <w:proofErr w:type="spellStart"/>
      <w:r>
        <w:rPr>
          <w:rFonts w:ascii="Times New Roman" w:hAnsi="Times New Roman" w:cs="Times New Roman"/>
          <w:sz w:val="26"/>
          <w:szCs w:val="26"/>
        </w:rPr>
        <w:t>F.Fanon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E.Glissant</w:t>
      </w:r>
      <w:proofErr w:type="spellEnd"/>
      <w:r>
        <w:rPr>
          <w:rFonts w:ascii="Times New Roman" w:hAnsi="Times New Roman" w:cs="Times New Roman"/>
          <w:sz w:val="26"/>
          <w:szCs w:val="26"/>
        </w:rPr>
        <w:t xml:space="preserve"> ou tous ceux qui se sont insurgés contre la suprématie de la «culture blanche», tous ont mis en avant l’idée de la nécessité d’aller </w:t>
      </w:r>
      <w:r>
        <w:rPr>
          <w:rFonts w:ascii="Times New Roman" w:hAnsi="Times New Roman" w:cs="Times New Roman"/>
          <w:sz w:val="26"/>
          <w:szCs w:val="26"/>
        </w:rPr>
        <w:lastRenderedPageBreak/>
        <w:t xml:space="preserve">vers un nouvel universalisme, un nouvel humanisme.  </w:t>
      </w:r>
      <w:r w:rsidRPr="00FA1BD5">
        <w:rPr>
          <w:rFonts w:ascii="Times New Roman" w:hAnsi="Times New Roman" w:cs="Times New Roman"/>
          <w:b/>
          <w:sz w:val="26"/>
          <w:szCs w:val="26"/>
        </w:rPr>
        <w:t xml:space="preserve">Dites, en rappelant l’apport de chacun d’entre eux, </w:t>
      </w:r>
      <w:r>
        <w:rPr>
          <w:rFonts w:ascii="Times New Roman" w:hAnsi="Times New Roman" w:cs="Times New Roman"/>
          <w:b/>
          <w:sz w:val="26"/>
          <w:szCs w:val="26"/>
        </w:rPr>
        <w:t xml:space="preserve">exemples littéraires à l’appui, </w:t>
      </w:r>
      <w:r w:rsidRPr="00FA1BD5">
        <w:rPr>
          <w:rFonts w:ascii="Times New Roman" w:hAnsi="Times New Roman" w:cs="Times New Roman"/>
          <w:b/>
          <w:sz w:val="26"/>
          <w:szCs w:val="26"/>
        </w:rPr>
        <w:t xml:space="preserve">comment </w:t>
      </w:r>
      <w:r>
        <w:rPr>
          <w:rFonts w:ascii="Times New Roman" w:hAnsi="Times New Roman" w:cs="Times New Roman"/>
          <w:b/>
          <w:sz w:val="26"/>
          <w:szCs w:val="26"/>
        </w:rPr>
        <w:t xml:space="preserve">le monde </w:t>
      </w:r>
      <w:r w:rsidRPr="00FA1BD5">
        <w:rPr>
          <w:rFonts w:ascii="Times New Roman" w:hAnsi="Times New Roman" w:cs="Times New Roman"/>
          <w:b/>
          <w:sz w:val="26"/>
          <w:szCs w:val="26"/>
        </w:rPr>
        <w:t>peut-</w:t>
      </w:r>
      <w:r>
        <w:rPr>
          <w:rFonts w:ascii="Times New Roman" w:hAnsi="Times New Roman" w:cs="Times New Roman"/>
          <w:b/>
          <w:sz w:val="26"/>
          <w:szCs w:val="26"/>
        </w:rPr>
        <w:t xml:space="preserve">il se libérer de </w:t>
      </w:r>
      <w:r w:rsidRPr="00FA1BD5">
        <w:rPr>
          <w:rFonts w:ascii="Times New Roman" w:hAnsi="Times New Roman" w:cs="Times New Roman"/>
          <w:b/>
          <w:sz w:val="26"/>
          <w:szCs w:val="26"/>
        </w:rPr>
        <w:t>ce</w:t>
      </w:r>
      <w:r>
        <w:rPr>
          <w:rFonts w:ascii="Times New Roman" w:hAnsi="Times New Roman" w:cs="Times New Roman"/>
          <w:b/>
          <w:sz w:val="26"/>
          <w:szCs w:val="26"/>
        </w:rPr>
        <w:t xml:space="preserve"> qu’ils nomment </w:t>
      </w:r>
      <w:r w:rsidRPr="00FA1BD5">
        <w:rPr>
          <w:rFonts w:ascii="Times New Roman" w:hAnsi="Times New Roman" w:cs="Times New Roman"/>
          <w:b/>
          <w:sz w:val="26"/>
          <w:szCs w:val="26"/>
        </w:rPr>
        <w:t xml:space="preserve">domination culturelle, linguistique et littéraire.  </w:t>
      </w:r>
    </w:p>
    <w:p w:rsidR="005C17FC" w:rsidRDefault="005C17FC" w:rsidP="005C17FC">
      <w:pPr>
        <w:spacing w:after="0"/>
        <w:jc w:val="both"/>
        <w:rPr>
          <w:rFonts w:asciiTheme="majorBidi" w:hAnsiTheme="majorBidi" w:cstheme="majorBidi"/>
          <w:sz w:val="26"/>
          <w:szCs w:val="26"/>
        </w:rPr>
      </w:pPr>
    </w:p>
    <w:p w:rsidR="00243DA2" w:rsidRPr="00E005DF" w:rsidRDefault="00E005DF">
      <w:pPr>
        <w:rPr>
          <w:rFonts w:ascii="Times New Roman" w:hAnsi="Times New Roman" w:cs="Times New Roman"/>
          <w:sz w:val="28"/>
          <w:szCs w:val="28"/>
        </w:rPr>
      </w:pPr>
      <w:r w:rsidRPr="00E005DF">
        <w:rPr>
          <w:rFonts w:ascii="Times New Roman" w:hAnsi="Times New Roman" w:cs="Times New Roman"/>
          <w:b/>
          <w:sz w:val="28"/>
          <w:szCs w:val="28"/>
        </w:rPr>
        <w:t>Important :</w:t>
      </w:r>
      <w:r>
        <w:rPr>
          <w:rFonts w:ascii="Times New Roman" w:hAnsi="Times New Roman" w:cs="Times New Roman"/>
          <w:sz w:val="28"/>
          <w:szCs w:val="28"/>
        </w:rPr>
        <w:t xml:space="preserve"> La lecture d</w:t>
      </w:r>
      <w:r w:rsidRPr="00E005DF">
        <w:rPr>
          <w:rFonts w:ascii="Times New Roman" w:hAnsi="Times New Roman" w:cs="Times New Roman"/>
          <w:sz w:val="28"/>
          <w:szCs w:val="28"/>
        </w:rPr>
        <w:t xml:space="preserve">es documents </w:t>
      </w:r>
      <w:r>
        <w:rPr>
          <w:rFonts w:ascii="Times New Roman" w:hAnsi="Times New Roman" w:cs="Times New Roman"/>
          <w:sz w:val="28"/>
          <w:szCs w:val="28"/>
        </w:rPr>
        <w:t xml:space="preserve">associés à cette question vous permettront de développer votre réflexion. </w:t>
      </w:r>
    </w:p>
    <w:sectPr w:rsidR="00243DA2" w:rsidRPr="00E005DF" w:rsidSect="00243DA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hyphenationZone w:val="425"/>
  <w:characterSpacingControl w:val="doNotCompress"/>
  <w:compat/>
  <w:rsids>
    <w:rsidRoot w:val="005C17FC"/>
    <w:rsid w:val="00243DA2"/>
    <w:rsid w:val="0051040C"/>
    <w:rsid w:val="005C17FC"/>
    <w:rsid w:val="00E005DF"/>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17FC"/>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ccentuation">
    <w:name w:val="Emphasis"/>
    <w:basedOn w:val="Policepardfaut"/>
    <w:uiPriority w:val="20"/>
    <w:qFormat/>
    <w:rsid w:val="005C17FC"/>
    <w:rPr>
      <w:i/>
      <w:iCs/>
    </w:rPr>
  </w:style>
  <w:style w:type="character" w:styleId="Lienhypertexte">
    <w:name w:val="Hyperlink"/>
    <w:basedOn w:val="Policepardfaut"/>
    <w:uiPriority w:val="99"/>
    <w:unhideWhenUsed/>
    <w:rsid w:val="005C17FC"/>
    <w:rPr>
      <w:color w:val="0000FF"/>
      <w:u w:val="single"/>
    </w:rPr>
  </w:style>
  <w:style w:type="paragraph" w:customStyle="1" w:styleId="noticebibliooeuvre">
    <w:name w:val="noticebibliooeuvre"/>
    <w:basedOn w:val="Normal"/>
    <w:rsid w:val="005C17FC"/>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journals.openedition.org/nuevomundo/61823"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380</Words>
  <Characters>2090</Characters>
  <Application>Microsoft Office Word</Application>
  <DocSecurity>0</DocSecurity>
  <Lines>17</Lines>
  <Paragraphs>4</Paragraphs>
  <ScaleCrop>false</ScaleCrop>
  <Company/>
  <LinksUpToDate>false</LinksUpToDate>
  <CharactersWithSpaces>2466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2024-05-03T07:55:00Z</dcterms:created>
  <dcterms:modified xsi:type="dcterms:W3CDTF">2024-05-03T08:02:00Z</dcterms:modified>
</cp:coreProperties>
</file>