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CE" w:rsidRDefault="00382C2A" w:rsidP="00382C2A">
      <w:pPr>
        <w:bidi/>
        <w:jc w:val="center"/>
        <w:rPr>
          <w:sz w:val="28"/>
          <w:szCs w:val="28"/>
          <w:rtl/>
          <w:lang w:bidi="ar-DZ"/>
        </w:rPr>
      </w:pPr>
      <w:r>
        <w:rPr>
          <w:rFonts w:hint="cs"/>
          <w:sz w:val="28"/>
          <w:szCs w:val="28"/>
          <w:rtl/>
          <w:lang w:bidi="ar-DZ"/>
        </w:rPr>
        <w:t>جامعة عبد الرحمان ميرة</w:t>
      </w:r>
    </w:p>
    <w:p w:rsidR="00382C2A" w:rsidRDefault="00382C2A" w:rsidP="00382C2A">
      <w:pPr>
        <w:bidi/>
        <w:jc w:val="center"/>
        <w:rPr>
          <w:sz w:val="28"/>
          <w:szCs w:val="28"/>
          <w:rtl/>
          <w:lang w:bidi="ar-DZ"/>
        </w:rPr>
      </w:pPr>
      <w:r>
        <w:rPr>
          <w:rFonts w:hint="cs"/>
          <w:sz w:val="28"/>
          <w:szCs w:val="28"/>
          <w:rtl/>
          <w:lang w:bidi="ar-DZ"/>
        </w:rPr>
        <w:t>كلية الآداب واللغات</w:t>
      </w:r>
    </w:p>
    <w:p w:rsidR="00382C2A" w:rsidRDefault="00382C2A" w:rsidP="00382C2A">
      <w:pPr>
        <w:bidi/>
        <w:jc w:val="center"/>
        <w:rPr>
          <w:sz w:val="28"/>
          <w:szCs w:val="28"/>
          <w:rtl/>
          <w:lang w:bidi="ar-DZ"/>
        </w:rPr>
      </w:pPr>
      <w:r>
        <w:rPr>
          <w:rFonts w:hint="cs"/>
          <w:sz w:val="28"/>
          <w:szCs w:val="28"/>
          <w:rtl/>
          <w:lang w:bidi="ar-DZ"/>
        </w:rPr>
        <w:t>قسم اللغة والأدب العربي</w:t>
      </w:r>
    </w:p>
    <w:p w:rsidR="00382C2A" w:rsidRDefault="00382C2A" w:rsidP="00382C2A">
      <w:pPr>
        <w:bidi/>
        <w:jc w:val="center"/>
        <w:rPr>
          <w:sz w:val="28"/>
          <w:szCs w:val="28"/>
          <w:rtl/>
          <w:lang w:bidi="ar-DZ"/>
        </w:rPr>
      </w:pPr>
    </w:p>
    <w:p w:rsidR="00382C2A" w:rsidRDefault="00382C2A" w:rsidP="00382C2A">
      <w:pPr>
        <w:bidi/>
        <w:jc w:val="center"/>
        <w:rPr>
          <w:sz w:val="28"/>
          <w:szCs w:val="28"/>
          <w:rtl/>
          <w:lang w:bidi="ar-DZ"/>
        </w:rPr>
      </w:pPr>
      <w:r>
        <w:rPr>
          <w:rFonts w:hint="cs"/>
          <w:sz w:val="28"/>
          <w:szCs w:val="28"/>
          <w:rtl/>
          <w:lang w:bidi="ar-DZ"/>
        </w:rPr>
        <w:t>محاضرات الاستشراق والأدب العربي</w:t>
      </w:r>
    </w:p>
    <w:p w:rsidR="00382C2A" w:rsidRDefault="00382C2A" w:rsidP="00382C2A">
      <w:pPr>
        <w:bidi/>
        <w:jc w:val="center"/>
        <w:rPr>
          <w:sz w:val="28"/>
          <w:szCs w:val="28"/>
          <w:rtl/>
          <w:lang w:bidi="ar-DZ"/>
        </w:rPr>
      </w:pPr>
    </w:p>
    <w:p w:rsidR="00382C2A" w:rsidRDefault="00382C2A" w:rsidP="00382C2A">
      <w:pPr>
        <w:bidi/>
        <w:jc w:val="center"/>
        <w:rPr>
          <w:sz w:val="28"/>
          <w:szCs w:val="28"/>
          <w:rtl/>
          <w:lang w:bidi="ar-DZ"/>
        </w:rPr>
      </w:pPr>
    </w:p>
    <w:p w:rsidR="00382C2A" w:rsidRPr="00382C2A" w:rsidRDefault="00382C2A" w:rsidP="00382C2A">
      <w:pPr>
        <w:bidi/>
        <w:jc w:val="center"/>
        <w:rPr>
          <w:sz w:val="28"/>
          <w:szCs w:val="28"/>
          <w:rtl/>
        </w:rPr>
      </w:pPr>
      <w:r w:rsidRPr="00382C2A">
        <w:rPr>
          <w:sz w:val="28"/>
          <w:szCs w:val="28"/>
          <w:rtl/>
        </w:rPr>
        <w:t>المحاضرة رقم 01:</w:t>
      </w:r>
      <w:bookmarkStart w:id="0" w:name="_GoBack"/>
      <w:bookmarkEnd w:id="0"/>
    </w:p>
    <w:p w:rsidR="00382C2A" w:rsidRPr="00382C2A" w:rsidRDefault="00382C2A" w:rsidP="00382C2A">
      <w:pPr>
        <w:bidi/>
        <w:jc w:val="center"/>
        <w:rPr>
          <w:b/>
          <w:bCs/>
          <w:sz w:val="28"/>
          <w:szCs w:val="28"/>
          <w:rtl/>
        </w:rPr>
      </w:pPr>
      <w:r w:rsidRPr="00382C2A">
        <w:rPr>
          <w:b/>
          <w:bCs/>
          <w:sz w:val="28"/>
          <w:szCs w:val="28"/>
          <w:rtl/>
        </w:rPr>
        <w:t>الاستشراق: المفهوم والنشأة والتطوّر</w:t>
      </w:r>
    </w:p>
    <w:p w:rsidR="00382C2A" w:rsidRPr="00382C2A" w:rsidRDefault="00382C2A" w:rsidP="00382C2A">
      <w:pPr>
        <w:bidi/>
        <w:jc w:val="highKashida"/>
        <w:rPr>
          <w:sz w:val="28"/>
          <w:szCs w:val="28"/>
          <w:rtl/>
        </w:rPr>
      </w:pPr>
    </w:p>
    <w:p w:rsidR="00382C2A" w:rsidRPr="00382C2A" w:rsidRDefault="00382C2A" w:rsidP="00382C2A">
      <w:pPr>
        <w:numPr>
          <w:ilvl w:val="0"/>
          <w:numId w:val="1"/>
        </w:numPr>
        <w:bidi/>
        <w:jc w:val="highKashida"/>
        <w:rPr>
          <w:b/>
          <w:bCs/>
          <w:sz w:val="28"/>
          <w:szCs w:val="28"/>
          <w:rtl/>
        </w:rPr>
      </w:pPr>
      <w:r w:rsidRPr="00382C2A">
        <w:rPr>
          <w:b/>
          <w:bCs/>
          <w:sz w:val="28"/>
          <w:szCs w:val="28"/>
          <w:rtl/>
        </w:rPr>
        <w:t xml:space="preserve">الاستشراق لغة: </w:t>
      </w:r>
    </w:p>
    <w:p w:rsidR="00382C2A" w:rsidRPr="00382C2A" w:rsidRDefault="00382C2A" w:rsidP="00382C2A">
      <w:pPr>
        <w:bidi/>
        <w:jc w:val="highKashida"/>
        <w:rPr>
          <w:sz w:val="28"/>
          <w:szCs w:val="28"/>
          <w:lang w:bidi="ar-DZ"/>
        </w:rPr>
      </w:pPr>
      <w:r w:rsidRPr="00382C2A">
        <w:rPr>
          <w:sz w:val="28"/>
          <w:szCs w:val="28"/>
          <w:rtl/>
        </w:rPr>
        <w:t xml:space="preserve">بالعودة إلى التعريف اللغوي، فلفظة "استشراق" مشتقة من كلمة "شرق"، فيقال "شرقت الشمس شرقا وشروقا إذا طلعت"، وحسب "أحمد </w:t>
      </w:r>
      <w:proofErr w:type="spellStart"/>
      <w:r w:rsidRPr="00382C2A">
        <w:rPr>
          <w:sz w:val="28"/>
          <w:szCs w:val="28"/>
          <w:rtl/>
        </w:rPr>
        <w:t>سمايلوفيتش</w:t>
      </w:r>
      <w:proofErr w:type="spellEnd"/>
      <w:r w:rsidRPr="00382C2A">
        <w:rPr>
          <w:sz w:val="28"/>
          <w:szCs w:val="28"/>
          <w:rtl/>
        </w:rPr>
        <w:t xml:space="preserve">" </w:t>
      </w:r>
      <w:proofErr w:type="gramStart"/>
      <w:r w:rsidRPr="00382C2A">
        <w:rPr>
          <w:sz w:val="28"/>
          <w:szCs w:val="28"/>
          <w:rtl/>
        </w:rPr>
        <w:t>فإنّ  كلمة</w:t>
      </w:r>
      <w:proofErr w:type="gramEnd"/>
      <w:r w:rsidRPr="00382C2A">
        <w:rPr>
          <w:sz w:val="28"/>
          <w:szCs w:val="28"/>
          <w:rtl/>
        </w:rPr>
        <w:t xml:space="preserve"> "الاستشراق" لم ترد في المعاجم العربية المختلفة، وما أنتج من تعريفات كان استنادا إلى قواعد الصرف وعلم الاشتقاق، حيث يبدو أن معنى (استشراق) أدخل نفسه في أهل الشرق وصار منهم.</w:t>
      </w:r>
      <w:sdt>
        <w:sdtPr>
          <w:rPr>
            <w:sz w:val="28"/>
            <w:szCs w:val="28"/>
            <w:rtl/>
          </w:rPr>
          <w:id w:val="-1473052417"/>
          <w:citation/>
        </w:sdtPr>
        <w:sdtContent>
          <w:r w:rsidRPr="00382C2A">
            <w:rPr>
              <w:sz w:val="28"/>
              <w:szCs w:val="28"/>
              <w:rtl/>
            </w:rPr>
            <w:fldChar w:fldCharType="begin"/>
          </w:r>
          <w:r w:rsidRPr="00382C2A">
            <w:rPr>
              <w:sz w:val="28"/>
              <w:szCs w:val="28"/>
              <w:lang w:bidi="ar-DZ"/>
            </w:rPr>
            <w:instrText>CITATION</w:instrText>
          </w:r>
          <w:r w:rsidRPr="00382C2A">
            <w:rPr>
              <w:sz w:val="28"/>
              <w:szCs w:val="28"/>
              <w:rtl/>
            </w:rPr>
            <w:instrText xml:space="preserve"> أحم98 \</w:instrText>
          </w:r>
          <w:r w:rsidRPr="00382C2A">
            <w:rPr>
              <w:sz w:val="28"/>
              <w:szCs w:val="28"/>
              <w:lang w:bidi="ar-DZ"/>
            </w:rPr>
            <w:instrText>p "21&amp;#1548; 22" \l 1025</w:instrText>
          </w:r>
          <w:r w:rsidRPr="00382C2A">
            <w:rPr>
              <w:sz w:val="28"/>
              <w:szCs w:val="28"/>
              <w:rtl/>
            </w:rPr>
            <w:instrText xml:space="preserve"> </w:instrText>
          </w:r>
          <w:r w:rsidRPr="00382C2A">
            <w:rPr>
              <w:sz w:val="28"/>
              <w:szCs w:val="28"/>
              <w:rtl/>
            </w:rPr>
            <w:fldChar w:fldCharType="separate"/>
          </w:r>
          <w:r w:rsidRPr="00382C2A">
            <w:rPr>
              <w:sz w:val="28"/>
              <w:szCs w:val="28"/>
              <w:rtl/>
            </w:rPr>
            <w:t xml:space="preserve"> </w:t>
          </w:r>
          <w:r w:rsidRPr="00382C2A">
            <w:rPr>
              <w:rFonts w:hint="cs"/>
              <w:sz w:val="28"/>
              <w:szCs w:val="28"/>
              <w:rtl/>
            </w:rPr>
            <w:t>(سمايلوفتش، 1998، صفحة 21، 22)</w:t>
          </w:r>
          <w:r w:rsidRPr="00382C2A">
            <w:rPr>
              <w:sz w:val="28"/>
              <w:szCs w:val="28"/>
              <w:rtl/>
              <w:lang w:bidi="ar-DZ"/>
            </w:rPr>
            <w:fldChar w:fldCharType="end"/>
          </w:r>
        </w:sdtContent>
      </w:sdt>
    </w:p>
    <w:p w:rsidR="00382C2A" w:rsidRPr="00382C2A" w:rsidRDefault="00382C2A" w:rsidP="00382C2A">
      <w:pPr>
        <w:bidi/>
        <w:jc w:val="highKashida"/>
        <w:rPr>
          <w:sz w:val="28"/>
          <w:szCs w:val="28"/>
          <w:rtl/>
        </w:rPr>
      </w:pPr>
      <w:r w:rsidRPr="00382C2A">
        <w:rPr>
          <w:sz w:val="28"/>
          <w:szCs w:val="28"/>
          <w:rtl/>
        </w:rPr>
        <w:t>ومن المُلاحظ أنّ جوهر مصطلح "الاستشراق" هو لفظة "الشرق"، التي على الرغم من كثرة تداولها واستعمالها، إلاّ أنها متعددة الدلالات والمعاني، وهي لا تدل على الجهة التي منها تشرق الشمس. بل هي "مفهوم حضاري وثقافي" أكثر مما هي مفهوم جغرافي، ((لأنّ تحديد الشرق جرافيا يختلف من جهة لأخرى، فالشرق بالنسبة للألماني هو غير الشرق بالنسبة للهولندي وهكذا)).</w:t>
      </w:r>
      <w:sdt>
        <w:sdtPr>
          <w:rPr>
            <w:sz w:val="28"/>
            <w:szCs w:val="28"/>
            <w:rtl/>
          </w:rPr>
          <w:id w:val="-951549519"/>
          <w:citation/>
        </w:sdtPr>
        <w:sdtContent>
          <w:r w:rsidRPr="00382C2A">
            <w:rPr>
              <w:sz w:val="28"/>
              <w:szCs w:val="28"/>
              <w:rtl/>
            </w:rPr>
            <w:fldChar w:fldCharType="begin"/>
          </w:r>
          <w:r w:rsidRPr="00382C2A">
            <w:rPr>
              <w:sz w:val="28"/>
              <w:szCs w:val="28"/>
              <w:lang w:bidi="ar-DZ"/>
            </w:rPr>
            <w:instrText>CITATION</w:instrText>
          </w:r>
          <w:r w:rsidRPr="00382C2A">
            <w:rPr>
              <w:sz w:val="28"/>
              <w:szCs w:val="28"/>
              <w:rtl/>
            </w:rPr>
            <w:instrText xml:space="preserve"> إسم \</w:instrText>
          </w:r>
          <w:r w:rsidRPr="00382C2A">
            <w:rPr>
              <w:sz w:val="28"/>
              <w:szCs w:val="28"/>
              <w:lang w:bidi="ar-DZ"/>
            </w:rPr>
            <w:instrText>p "06 - 07" \l 1025</w:instrText>
          </w:r>
          <w:r w:rsidRPr="00382C2A">
            <w:rPr>
              <w:sz w:val="28"/>
              <w:szCs w:val="28"/>
              <w:rtl/>
            </w:rPr>
            <w:instrText xml:space="preserve"> </w:instrText>
          </w:r>
          <w:r w:rsidRPr="00382C2A">
            <w:rPr>
              <w:sz w:val="28"/>
              <w:szCs w:val="28"/>
              <w:rtl/>
            </w:rPr>
            <w:fldChar w:fldCharType="separate"/>
          </w:r>
          <w:r w:rsidRPr="00382C2A">
            <w:rPr>
              <w:sz w:val="28"/>
              <w:szCs w:val="28"/>
              <w:rtl/>
            </w:rPr>
            <w:t xml:space="preserve"> </w:t>
          </w:r>
          <w:r w:rsidRPr="00382C2A">
            <w:rPr>
              <w:rFonts w:hint="cs"/>
              <w:sz w:val="28"/>
              <w:szCs w:val="28"/>
              <w:rtl/>
            </w:rPr>
            <w:t>(مصطفى، الصفحات 06 - 07)</w:t>
          </w:r>
          <w:r w:rsidRPr="00382C2A">
            <w:rPr>
              <w:sz w:val="28"/>
              <w:szCs w:val="28"/>
              <w:rtl/>
              <w:lang w:bidi="ar-DZ"/>
            </w:rPr>
            <w:fldChar w:fldCharType="end"/>
          </w:r>
        </w:sdtContent>
      </w:sdt>
    </w:p>
    <w:p w:rsidR="00382C2A" w:rsidRPr="00382C2A" w:rsidRDefault="00382C2A" w:rsidP="00382C2A">
      <w:pPr>
        <w:bidi/>
        <w:jc w:val="highKashida"/>
        <w:rPr>
          <w:sz w:val="28"/>
          <w:szCs w:val="28"/>
          <w:rtl/>
        </w:rPr>
      </w:pPr>
      <w:r w:rsidRPr="00382C2A">
        <w:rPr>
          <w:sz w:val="28"/>
          <w:szCs w:val="28"/>
          <w:rtl/>
        </w:rPr>
        <w:t>تاريخيا، ظهر التمييز بين الشرق والغرب في مؤلفات المؤرخ اليوناني "هيرودوت" الذي أطلق مفهوم "الشرق" على منطقة "آسيا"، ومفهوم "الغرب" على منطقة "أوروبا"، بتأثير واضح من الحرب بين الفرس واليونان؛ حيث كان الفرس يمثلون هذا "الشرق".</w:t>
      </w:r>
    </w:p>
    <w:p w:rsidR="00382C2A" w:rsidRPr="00382C2A" w:rsidRDefault="00382C2A" w:rsidP="00382C2A">
      <w:pPr>
        <w:bidi/>
        <w:jc w:val="highKashida"/>
        <w:rPr>
          <w:sz w:val="28"/>
          <w:szCs w:val="28"/>
          <w:rtl/>
        </w:rPr>
      </w:pPr>
      <w:r w:rsidRPr="00382C2A">
        <w:rPr>
          <w:sz w:val="28"/>
          <w:szCs w:val="28"/>
          <w:rtl/>
        </w:rPr>
        <w:t>وفي العهد الروماني، تجلى مفهوم الشرق بعد انقسام الإمبراطورية الرومانية عام 395 م إلى الإمبراطورية الغربية والامبراطورية الشرقية، والذي تطور لاحقا إلى انقسام الكنيسة إلى كنيسة شرقية أرثوذكسية، وكنيسة غربية كاثوليكية.</w:t>
      </w:r>
      <w:sdt>
        <w:sdtPr>
          <w:rPr>
            <w:sz w:val="28"/>
            <w:szCs w:val="28"/>
            <w:rtl/>
          </w:rPr>
          <w:id w:val="1428698561"/>
          <w:citation/>
        </w:sdtPr>
        <w:sdtContent>
          <w:r w:rsidRPr="00382C2A">
            <w:rPr>
              <w:sz w:val="28"/>
              <w:szCs w:val="28"/>
              <w:rtl/>
            </w:rPr>
            <w:fldChar w:fldCharType="begin"/>
          </w:r>
          <w:r w:rsidRPr="00382C2A">
            <w:rPr>
              <w:sz w:val="28"/>
              <w:szCs w:val="28"/>
              <w:lang w:bidi="ar-DZ"/>
            </w:rPr>
            <w:instrText xml:space="preserve">CITATION </w:instrText>
          </w:r>
          <w:r w:rsidRPr="00382C2A">
            <w:rPr>
              <w:sz w:val="28"/>
              <w:szCs w:val="28"/>
              <w:rtl/>
            </w:rPr>
            <w:instrText>مشت08</w:instrText>
          </w:r>
          <w:r w:rsidRPr="00382C2A">
            <w:rPr>
              <w:sz w:val="28"/>
              <w:szCs w:val="28"/>
              <w:lang w:bidi="ar-DZ"/>
            </w:rPr>
            <w:instrText xml:space="preserve"> \p " 17 &amp;#1576;&amp;#1578;&amp;#1589;&amp;#1585;&amp;#1601;" \l 1025 </w:instrText>
          </w:r>
          <w:r w:rsidRPr="00382C2A">
            <w:rPr>
              <w:sz w:val="28"/>
              <w:szCs w:val="28"/>
              <w:rtl/>
            </w:rPr>
            <w:fldChar w:fldCharType="separate"/>
          </w:r>
          <w:r w:rsidRPr="00382C2A">
            <w:rPr>
              <w:sz w:val="28"/>
              <w:szCs w:val="28"/>
              <w:rtl/>
            </w:rPr>
            <w:t xml:space="preserve"> </w:t>
          </w:r>
          <w:r w:rsidRPr="00382C2A">
            <w:rPr>
              <w:rFonts w:hint="cs"/>
              <w:sz w:val="28"/>
              <w:szCs w:val="28"/>
              <w:rtl/>
            </w:rPr>
            <w:t>(الغزالي، 2008، صفحة 17 بتصرف)</w:t>
          </w:r>
          <w:r w:rsidRPr="00382C2A">
            <w:rPr>
              <w:sz w:val="28"/>
              <w:szCs w:val="28"/>
              <w:rtl/>
              <w:lang w:bidi="ar-DZ"/>
            </w:rPr>
            <w:fldChar w:fldCharType="end"/>
          </w:r>
        </w:sdtContent>
      </w:sdt>
    </w:p>
    <w:p w:rsidR="00382C2A" w:rsidRPr="00382C2A" w:rsidRDefault="00382C2A" w:rsidP="00382C2A">
      <w:pPr>
        <w:bidi/>
        <w:jc w:val="highKashida"/>
        <w:rPr>
          <w:sz w:val="28"/>
          <w:szCs w:val="28"/>
          <w:rtl/>
        </w:rPr>
      </w:pPr>
      <w:r w:rsidRPr="00382C2A">
        <w:rPr>
          <w:sz w:val="28"/>
          <w:szCs w:val="28"/>
          <w:rtl/>
        </w:rPr>
        <w:t>إلا أنّ بظهور الإسلام، أصبح الشرق مرادفا للبلاد الإسلامية، وتعزز هذا التصور أثناء الحروب الصليبية.</w:t>
      </w:r>
    </w:p>
    <w:p w:rsidR="00382C2A" w:rsidRPr="00382C2A" w:rsidRDefault="00382C2A" w:rsidP="00382C2A">
      <w:pPr>
        <w:bidi/>
        <w:jc w:val="highKashida"/>
        <w:rPr>
          <w:rFonts w:hint="cs"/>
          <w:sz w:val="28"/>
          <w:szCs w:val="28"/>
        </w:rPr>
      </w:pPr>
    </w:p>
    <w:sectPr w:rsidR="00382C2A" w:rsidRPr="00382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6A1F"/>
    <w:multiLevelType w:val="hybridMultilevel"/>
    <w:tmpl w:val="02AE126E"/>
    <w:lvl w:ilvl="0" w:tplc="05D06C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2A"/>
    <w:rsid w:val="00382C2A"/>
    <w:rsid w:val="004546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168AD-E52D-4399-A7D9-FF9438F9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أحم98</b:Tag>
    <b:SourceType>Book</b:SourceType>
    <b:Guid>{9A7CF79C-2600-3F4B-ABD9-0B82CC87EA4E}</b:Guid>
    <b:LCID>ar-SA</b:LCID>
    <b:Author>
      <b:Author>
        <b:NameList>
          <b:Person>
            <b:Last>سمايلوفتش</b:Last>
            <b:First>أحمد</b:First>
          </b:Person>
        </b:NameList>
      </b:Author>
    </b:Author>
    <b:Title>فلسفة الاستشراق وأثرها في الأدب العربي المعاصر</b:Title>
    <b:City>القاهرة</b:City>
    <b:Publisher>دار الفكر العربي</b:Publisher>
    <b:Year>1998</b:Year>
    <b:RefOrder>1</b:RefOrder>
  </b:Source>
  <b:Source>
    <b:Tag>إسم</b:Tag>
    <b:SourceType>Book</b:SourceType>
    <b:Guid>{EF8705CA-167A-194B-9C44-DC5F13FAFA31}</b:Guid>
    <b:Author>
      <b:Author>
        <b:NameList>
          <b:Person>
            <b:Last>مصطفى</b:Last>
            <b:First>إسماعيل</b:First>
            <b:Middle>عبد الفتاح</b:Middle>
          </b:Person>
        </b:NameList>
      </b:Author>
    </b:Author>
    <b:Title>الاستشراق بين النشأة والأهداف</b:Title>
    <b:City>القاهرة</b:City>
    <b:Publisher>جامعة الأزهر الشريف</b:Publisher>
    <b:LCID>ar-SA</b:LCID>
    <b:RefOrder>2</b:RefOrder>
  </b:Source>
  <b:Source>
    <b:Tag>مشت08</b:Tag>
    <b:SourceType>Book</b:SourceType>
    <b:Guid>{B1017B3A-A811-7548-8031-147E1CFDB71F}</b:Guid>
    <b:LCID>ar-SA</b:LCID>
    <b:Author>
      <b:Author>
        <b:NameList>
          <b:Person>
            <b:Last>الغزالي</b:Last>
            <b:First>مشتاق</b:First>
            <b:Middle>بشير</b:Middle>
          </b:Person>
        </b:NameList>
      </b:Author>
    </b:Author>
    <b:Title>القرآن الكريم في دراسات المستشرقين</b:Title>
    <b:City>دمشق</b:City>
    <b:Publisher>دار النفائس</b:Publisher>
    <b:Year>2008</b:Year>
    <b:RefOrder>3</b:RefOrder>
  </b:Source>
</b:Sources>
</file>

<file path=customXml/itemProps1.xml><?xml version="1.0" encoding="utf-8"?>
<ds:datastoreItem xmlns:ds="http://schemas.openxmlformats.org/officeDocument/2006/customXml" ds:itemID="{357B5997-2784-4DF2-9868-E759B773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1364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2024-01-07T16:59:00Z</dcterms:created>
  <dcterms:modified xsi:type="dcterms:W3CDTF">2024-01-07T17:01:00Z</dcterms:modified>
</cp:coreProperties>
</file>