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C5" w:rsidRDefault="00AC6A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Corrigé de l’examen de linguistique 2</w:t>
      </w:r>
    </w:p>
    <w:p w:rsidR="00AC6A38" w:rsidRPr="00151EA8" w:rsidRDefault="00AC6A3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51EA8">
        <w:rPr>
          <w:rFonts w:asciiTheme="majorBidi" w:hAnsiTheme="majorBidi" w:cstheme="majorBidi"/>
          <w:b/>
          <w:bCs/>
          <w:sz w:val="24"/>
          <w:szCs w:val="24"/>
          <w:u w:val="single"/>
        </w:rPr>
        <w:t>Réponse (1)</w:t>
      </w:r>
      <w:r w:rsidR="00151EA8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AC6A38" w:rsidRDefault="00AC6A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D’après Martinet :  la langue est un instrument de communication doublement articulé en unités minimales douées de sens, appelées monèmes et en unités distinctives dépourvues de sens, appelées phonèmes. </w:t>
      </w:r>
    </w:p>
    <w:p w:rsidR="00AC6A38" w:rsidRDefault="00AC6A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Exemple de monèmes : /ma/</w:t>
      </w:r>
      <w:proofErr w:type="spellStart"/>
      <w:r>
        <w:rPr>
          <w:rFonts w:asciiTheme="majorBidi" w:hAnsiTheme="majorBidi" w:cstheme="majorBidi"/>
          <w:sz w:val="24"/>
          <w:szCs w:val="24"/>
        </w:rPr>
        <w:t>mεR</w:t>
      </w:r>
      <w:proofErr w:type="spellEnd"/>
      <w:r>
        <w:rPr>
          <w:rFonts w:asciiTheme="majorBidi" w:hAnsiTheme="majorBidi" w:cstheme="majorBidi"/>
          <w:sz w:val="24"/>
          <w:szCs w:val="24"/>
        </w:rPr>
        <w:t>/ε/</w:t>
      </w:r>
      <w:proofErr w:type="spellStart"/>
      <w:r>
        <w:rPr>
          <w:rFonts w:asciiTheme="majorBidi" w:hAnsiTheme="majorBidi" w:cstheme="majorBidi"/>
          <w:sz w:val="24"/>
          <w:szCs w:val="24"/>
        </w:rPr>
        <w:t>malad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</w:p>
    <w:p w:rsidR="00AC6A38" w:rsidRDefault="00AC6A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Exemple de phonèmes : /m/ε/R/</w:t>
      </w:r>
    </w:p>
    <w:p w:rsidR="00AC6A38" w:rsidRPr="00151EA8" w:rsidRDefault="00AC6A38" w:rsidP="00AC6A3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51EA8">
        <w:rPr>
          <w:rFonts w:asciiTheme="majorBidi" w:hAnsiTheme="majorBidi" w:cstheme="majorBidi"/>
          <w:b/>
          <w:bCs/>
          <w:sz w:val="24"/>
          <w:szCs w:val="24"/>
          <w:u w:val="single"/>
        </w:rPr>
        <w:t>Réponse (2) :</w:t>
      </w:r>
    </w:p>
    <w:p w:rsidR="00AC6A38" w:rsidRDefault="00151EA8" w:rsidP="00AC6A38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Hiyelmslev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opère, contrairement à Saussure, une quadruple distinction du signe linguistique : </w:t>
      </w:r>
    </w:p>
    <w:p w:rsidR="00151EA8" w:rsidRDefault="00151EA8" w:rsidP="00AC6A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forme du contenu est l’image mentale qui renvoie au signifié de Saussure</w:t>
      </w:r>
    </w:p>
    <w:p w:rsidR="00151EA8" w:rsidRDefault="00151EA8" w:rsidP="00AC6A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forme de l’expression renvoie aux phonèmes, morphèmes…constituant ainsi le signifiant de Saussure</w:t>
      </w:r>
    </w:p>
    <w:p w:rsidR="00151EA8" w:rsidRDefault="00151EA8" w:rsidP="00AC6A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substance du contenu est le référent extralinguistique</w:t>
      </w:r>
    </w:p>
    <w:p w:rsidR="00151EA8" w:rsidRDefault="00151EA8" w:rsidP="00AC6A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substance de l’expression renvoie aux phones, morphes…</w:t>
      </w:r>
    </w:p>
    <w:p w:rsidR="00AC6A38" w:rsidRPr="00151EA8" w:rsidRDefault="00AC6A3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51EA8">
        <w:rPr>
          <w:rFonts w:asciiTheme="majorBidi" w:hAnsiTheme="majorBidi" w:cstheme="majorBidi"/>
          <w:b/>
          <w:bCs/>
          <w:sz w:val="24"/>
          <w:szCs w:val="24"/>
          <w:u w:val="single"/>
        </w:rPr>
        <w:t>Réponse (3)</w:t>
      </w:r>
      <w:r w:rsidR="00151EA8" w:rsidRPr="00151EA8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151EA8" w:rsidRDefault="00151E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phrase, qui est une construction hiérarchisée, est décomposable en segments constituant l’énoncé, ces derniers sont décomposables à leur tour en sous segments, c’est ce que l’on appelle CI ; il s’agit d’un constituant immédiatement inférieur : de la phrase au syntagme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jusqu’au morphème.</w:t>
      </w:r>
    </w:p>
    <w:p w:rsidR="00151EA8" w:rsidRDefault="00151EA8" w:rsidP="00151E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Exemple : le chat mange un poisson</w:t>
      </w:r>
    </w:p>
    <w:p w:rsidR="00151EA8" w:rsidRDefault="00151EA8" w:rsidP="00151E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P→SN+SV</w:t>
      </w:r>
    </w:p>
    <w:p w:rsidR="00151EA8" w:rsidRDefault="00151EA8" w:rsidP="00151E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SN→DET+N+ADJ</w:t>
      </w:r>
    </w:p>
    <w:p w:rsidR="00151EA8" w:rsidRDefault="00151EA8" w:rsidP="00151E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SV→V+SN</w:t>
      </w:r>
    </w:p>
    <w:p w:rsidR="00151EA8" w:rsidRDefault="00151EA8" w:rsidP="00151E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SN→DET+N</w:t>
      </w:r>
    </w:p>
    <w:p w:rsidR="00AC6A38" w:rsidRPr="00B35ED6" w:rsidRDefault="00AC6A3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35ED6">
        <w:rPr>
          <w:rFonts w:asciiTheme="majorBidi" w:hAnsiTheme="majorBidi" w:cstheme="majorBidi"/>
          <w:b/>
          <w:bCs/>
          <w:sz w:val="24"/>
          <w:szCs w:val="24"/>
          <w:u w:val="single"/>
        </w:rPr>
        <w:t>Réponse (4)</w:t>
      </w:r>
      <w:r w:rsidR="00B35ED6" w:rsidRPr="00B35ED6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AC6A38" w:rsidRPr="00AC6A38" w:rsidRDefault="00151E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compétence renvoie aux règles grammaticales ou aux connaissances linguistiques qui implique la faculté de comprendre et de produire des phrases infinies</w:t>
      </w:r>
      <w:r w:rsidR="00B35ED6">
        <w:rPr>
          <w:rFonts w:asciiTheme="majorBidi" w:hAnsiTheme="majorBidi" w:cstheme="majorBidi"/>
          <w:sz w:val="24"/>
          <w:szCs w:val="24"/>
        </w:rPr>
        <w:t>. Il s’agit du code qui est collectif, tout comme la langue chez Saussure. Quant à la performance, celle-ci est la mise en œuvre effective de la compétence linguistique dans des actes de parole individuels, tout comme le concept de parole chez Saussure.</w:t>
      </w:r>
    </w:p>
    <w:sectPr w:rsidR="00AC6A38" w:rsidRPr="00AC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38"/>
    <w:rsid w:val="00151EA8"/>
    <w:rsid w:val="00AC6A38"/>
    <w:rsid w:val="00AD02B0"/>
    <w:rsid w:val="00B35ED6"/>
    <w:rsid w:val="00D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8C6F"/>
  <w15:chartTrackingRefBased/>
  <w15:docId w15:val="{259A4CCA-D23C-472A-86EE-1789A175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2024-05-31T14:56:00Z</dcterms:created>
  <dcterms:modified xsi:type="dcterms:W3CDTF">2024-05-31T15:24:00Z</dcterms:modified>
</cp:coreProperties>
</file>