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FC9" w:rsidRDefault="00660FC9" w:rsidP="00660FC9">
      <w:pPr>
        <w:bidi/>
        <w:spacing w:line="360" w:lineRule="auto"/>
        <w:jc w:val="center"/>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الدرس السادس</w:t>
      </w:r>
    </w:p>
    <w:p w:rsidR="00660FC9" w:rsidRDefault="00660FC9" w:rsidP="00660FC9">
      <w:pPr>
        <w:bidi/>
        <w:spacing w:line="360" w:lineRule="auto"/>
        <w:jc w:val="center"/>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التهميش</w:t>
      </w:r>
    </w:p>
    <w:p w:rsidR="00660FC9" w:rsidRDefault="00660FC9" w:rsidP="00660FC9">
      <w:pPr>
        <w:bidi/>
        <w:spacing w:line="360" w:lineRule="auto"/>
        <w:jc w:val="highKashida"/>
        <w:rPr>
          <w:rFonts w:asciiTheme="majorBidi" w:hAnsiTheme="majorBidi" w:cstheme="majorBidi"/>
          <w:sz w:val="32"/>
          <w:szCs w:val="32"/>
          <w:rtl/>
          <w:lang w:bidi="ar-DZ"/>
        </w:rPr>
      </w:pPr>
      <w:r>
        <w:rPr>
          <w:rFonts w:asciiTheme="majorBidi" w:hAnsiTheme="majorBidi" w:cstheme="majorBidi" w:hint="cs"/>
          <w:sz w:val="32"/>
          <w:szCs w:val="32"/>
          <w:rtl/>
          <w:lang w:bidi="ar-DZ"/>
        </w:rPr>
        <w:t>لا يُوجد بحث لا يستند فيه صاحبه إلى مصادر يستقي منها معلوماته وأفكاره؛ فالبحث العلمي ليس مجرد تعبير عن ملاحظات خاصة أو انطباعات شخصية، ولو أنّ ذلك مهم، لكنه حلقة من حلقات تطور البحث نفسه، والتطور المعرفي هو عملية تراكمية؛ وحتى بالنسبة للذين يجددون في الأفكار والمناهج فهم لا يفعلون ذلك إلا بالاستناد إلى ما ألفه السابقون من أبحاث ودراسات، ولا يحدث التجاوز إلا بعد هضم هذه الأبحاث لمعرفة الناقص فيها.</w:t>
      </w:r>
    </w:p>
    <w:p w:rsidR="00660FC9" w:rsidRDefault="00660FC9" w:rsidP="00660FC9">
      <w:pPr>
        <w:bidi/>
        <w:spacing w:line="360" w:lineRule="auto"/>
        <w:jc w:val="highKashida"/>
        <w:rPr>
          <w:rFonts w:asciiTheme="majorBidi" w:hAnsiTheme="majorBidi" w:cstheme="majorBidi"/>
          <w:sz w:val="32"/>
          <w:szCs w:val="32"/>
          <w:rtl/>
          <w:lang w:bidi="ar-DZ"/>
        </w:rPr>
      </w:pPr>
      <w:r>
        <w:rPr>
          <w:rFonts w:asciiTheme="majorBidi" w:hAnsiTheme="majorBidi" w:cstheme="majorBidi" w:hint="cs"/>
          <w:sz w:val="32"/>
          <w:szCs w:val="32"/>
          <w:rtl/>
          <w:lang w:bidi="ar-DZ"/>
        </w:rPr>
        <w:t>البحث، كما قلنا في دروس سابقة، هو ثمرة للقراءة، وتزداد قيمة البحث بتعدد قراءات الباحث وتنوعها وكثرتها كذلك. لكن لنقل المعلومات في شكل اقتباسات لها شروطها وضوابطها؛ إذ أنّ الباحث الجاد لا ينقل فكرة أو معلومة دون الإشارة إلى المصدر أو المرجع الذي استمد منه تلك المعلومات، ولا يهم إن كان قد أخذها حرفيا أو بتصرف، ففي كلتي الحالتين هو ملزم بذكر مصادره ومراجعه.</w:t>
      </w:r>
    </w:p>
    <w:p w:rsidR="00660FC9" w:rsidRDefault="00660FC9" w:rsidP="00660FC9">
      <w:pPr>
        <w:bidi/>
        <w:spacing w:line="360" w:lineRule="auto"/>
        <w:jc w:val="highKashida"/>
        <w:rPr>
          <w:rFonts w:asciiTheme="majorBidi" w:hAnsiTheme="majorBidi" w:cstheme="majorBidi"/>
          <w:sz w:val="32"/>
          <w:szCs w:val="32"/>
          <w:rtl/>
          <w:lang w:bidi="ar-DZ"/>
        </w:rPr>
      </w:pPr>
      <w:r>
        <w:rPr>
          <w:rFonts w:asciiTheme="majorBidi" w:hAnsiTheme="majorBidi" w:cstheme="majorBidi" w:hint="cs"/>
          <w:sz w:val="32"/>
          <w:szCs w:val="32"/>
          <w:rtl/>
          <w:lang w:bidi="ar-DZ"/>
        </w:rPr>
        <w:t>يعرّف "محمد عبيدات" الهامش بأنّه ((المادة التي تظهر في أسفل الصفحة أو في نهاية الكتاب أو البحث)).</w:t>
      </w:r>
      <w:r>
        <w:rPr>
          <w:rStyle w:val="Appelnotedebasdep"/>
          <w:rFonts w:asciiTheme="majorBidi" w:hAnsiTheme="majorBidi" w:cstheme="majorBidi"/>
          <w:sz w:val="32"/>
          <w:szCs w:val="32"/>
          <w:rtl/>
          <w:lang w:bidi="ar-DZ"/>
        </w:rPr>
        <w:footnoteReference w:id="1"/>
      </w:r>
    </w:p>
    <w:p w:rsidR="00660FC9" w:rsidRDefault="00660FC9" w:rsidP="00660FC9">
      <w:pPr>
        <w:bidi/>
        <w:spacing w:line="360" w:lineRule="auto"/>
        <w:jc w:val="highKashida"/>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أمّا "خلف بوبكر" فعرّفه بأنّه ((تدوين المعلومات عن المصادر والمراجع وأوعية المعارف التي اقتبس منها الباحث في الهامش، وهو ذلك الجزء الذي يُترك في أسفل الصفحة ويفصل بينه وبين المتن خط أفقي يمتد إلى </w:t>
      </w:r>
      <w:r>
        <w:rPr>
          <w:rFonts w:asciiTheme="majorBidi" w:hAnsiTheme="majorBidi" w:cstheme="majorBidi" w:hint="cs"/>
          <w:sz w:val="32"/>
          <w:szCs w:val="32"/>
          <w:rtl/>
          <w:lang w:bidi="ar-DZ"/>
        </w:rPr>
        <w:lastRenderedPageBreak/>
        <w:t>ثلث الصفحة تقريبا، ويكتب الهامش بمقاس أقل من مقاس خط التحرير في نص البحث دون تثخين)).</w:t>
      </w:r>
      <w:r>
        <w:rPr>
          <w:rStyle w:val="Appelnotedebasdep"/>
          <w:rFonts w:asciiTheme="majorBidi" w:hAnsiTheme="majorBidi" w:cstheme="majorBidi"/>
          <w:sz w:val="32"/>
          <w:szCs w:val="32"/>
          <w:rtl/>
          <w:lang w:bidi="ar-DZ"/>
        </w:rPr>
        <w:footnoteReference w:id="2"/>
      </w:r>
    </w:p>
    <w:p w:rsidR="00660FC9" w:rsidRDefault="00660FC9" w:rsidP="00660FC9">
      <w:pPr>
        <w:bidi/>
        <w:spacing w:line="360" w:lineRule="auto"/>
        <w:jc w:val="highKashida"/>
        <w:rPr>
          <w:rFonts w:asciiTheme="majorBidi" w:hAnsiTheme="majorBidi" w:cstheme="majorBidi"/>
          <w:sz w:val="32"/>
          <w:szCs w:val="32"/>
          <w:rtl/>
          <w:lang w:bidi="ar-DZ"/>
        </w:rPr>
      </w:pPr>
      <w:r>
        <w:rPr>
          <w:rFonts w:asciiTheme="majorBidi" w:hAnsiTheme="majorBidi" w:cstheme="majorBidi" w:hint="cs"/>
          <w:sz w:val="32"/>
          <w:szCs w:val="32"/>
          <w:rtl/>
          <w:lang w:bidi="ar-DZ"/>
        </w:rPr>
        <w:t>فالتهميش إذن، من خلال التعريفين، هو ما يُدوّن أسفل الصفحة أو في نهاية الفصل أو البحث، وما يدوّن هناك هو:</w:t>
      </w:r>
    </w:p>
    <w:p w:rsidR="00660FC9" w:rsidRDefault="00660FC9" w:rsidP="00660FC9">
      <w:pPr>
        <w:pStyle w:val="Paragraphedeliste"/>
        <w:numPr>
          <w:ilvl w:val="0"/>
          <w:numId w:val="2"/>
        </w:numPr>
        <w:bidi/>
        <w:spacing w:line="360" w:lineRule="auto"/>
        <w:jc w:val="highKashida"/>
        <w:rPr>
          <w:rFonts w:asciiTheme="majorBidi" w:hAnsiTheme="majorBidi" w:cstheme="majorBidi"/>
          <w:sz w:val="32"/>
          <w:szCs w:val="32"/>
          <w:lang w:bidi="ar-DZ"/>
        </w:rPr>
      </w:pPr>
      <w:r>
        <w:rPr>
          <w:rFonts w:asciiTheme="majorBidi" w:hAnsiTheme="majorBidi" w:cstheme="majorBidi" w:hint="cs"/>
          <w:sz w:val="32"/>
          <w:szCs w:val="32"/>
          <w:rtl/>
          <w:lang w:bidi="ar-DZ"/>
        </w:rPr>
        <w:t>المعلومات المتعلقة بالمصادر والمراجع المعتمدة عليها.</w:t>
      </w:r>
    </w:p>
    <w:p w:rsidR="00660FC9" w:rsidRDefault="00660FC9" w:rsidP="00660FC9">
      <w:pPr>
        <w:pStyle w:val="Paragraphedeliste"/>
        <w:numPr>
          <w:ilvl w:val="0"/>
          <w:numId w:val="2"/>
        </w:numPr>
        <w:bidi/>
        <w:spacing w:line="360" w:lineRule="auto"/>
        <w:jc w:val="highKashida"/>
        <w:rPr>
          <w:rFonts w:asciiTheme="majorBidi" w:hAnsiTheme="majorBidi" w:cstheme="majorBidi"/>
          <w:sz w:val="32"/>
          <w:szCs w:val="32"/>
          <w:lang w:bidi="ar-DZ"/>
        </w:rPr>
      </w:pPr>
      <w:r>
        <w:rPr>
          <w:rFonts w:asciiTheme="majorBidi" w:hAnsiTheme="majorBidi" w:cstheme="majorBidi" w:hint="cs"/>
          <w:sz w:val="32"/>
          <w:szCs w:val="32"/>
          <w:rtl/>
          <w:lang w:bidi="ar-DZ"/>
        </w:rPr>
        <w:t>الملاحظات والتعقيبات والإضافات في شكل استدراكات أو استطرادات، يلتجئ إليها الباحث لتوضيح فكرة ما أو التعريف بمفهوم أو بعلم من الأعلام. ويكتبها في الهامش حتى يتجنب التشويش على تركيز القارئ في المتن.</w:t>
      </w:r>
    </w:p>
    <w:p w:rsidR="00660FC9" w:rsidRDefault="00660FC9" w:rsidP="00660FC9">
      <w:pPr>
        <w:bidi/>
        <w:spacing w:line="360" w:lineRule="auto"/>
        <w:jc w:val="highKashida"/>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لماذا نُهمّش؟</w:t>
      </w:r>
    </w:p>
    <w:p w:rsidR="00660FC9" w:rsidRDefault="00660FC9" w:rsidP="00660FC9">
      <w:pPr>
        <w:pStyle w:val="Paragraphedeliste"/>
        <w:numPr>
          <w:ilvl w:val="0"/>
          <w:numId w:val="2"/>
        </w:numPr>
        <w:bidi/>
        <w:spacing w:line="360" w:lineRule="auto"/>
        <w:jc w:val="highKashida"/>
        <w:rPr>
          <w:rFonts w:asciiTheme="majorBidi" w:hAnsiTheme="majorBidi" w:cstheme="majorBidi"/>
          <w:sz w:val="32"/>
          <w:szCs w:val="32"/>
          <w:lang w:bidi="ar-DZ"/>
        </w:rPr>
      </w:pPr>
      <w:r>
        <w:rPr>
          <w:rFonts w:asciiTheme="majorBidi" w:hAnsiTheme="majorBidi" w:cstheme="majorBidi" w:hint="cs"/>
          <w:sz w:val="32"/>
          <w:szCs w:val="32"/>
          <w:rtl/>
          <w:lang w:bidi="ar-DZ"/>
        </w:rPr>
        <w:t>إحقاق الأمانة العلمية، ذلك أنّ ذكر المصادر والمراجع التي أخذ منها الباحث معلوماته هو واجب أخلاقي قبل أن يكون علميا. ومن جهة أخرى، يؤكّد على أنّ طبيعة المعرفة أنها "تراكمية".</w:t>
      </w:r>
    </w:p>
    <w:p w:rsidR="00660FC9" w:rsidRDefault="00660FC9" w:rsidP="00660FC9">
      <w:pPr>
        <w:pStyle w:val="Paragraphedeliste"/>
        <w:numPr>
          <w:ilvl w:val="0"/>
          <w:numId w:val="2"/>
        </w:numPr>
        <w:bidi/>
        <w:spacing w:line="360" w:lineRule="auto"/>
        <w:jc w:val="highKashida"/>
        <w:rPr>
          <w:rFonts w:asciiTheme="majorBidi" w:hAnsiTheme="majorBidi" w:cstheme="majorBidi"/>
          <w:sz w:val="32"/>
          <w:szCs w:val="32"/>
          <w:lang w:bidi="ar-DZ"/>
        </w:rPr>
      </w:pPr>
      <w:r>
        <w:rPr>
          <w:rFonts w:asciiTheme="majorBidi" w:hAnsiTheme="majorBidi" w:cstheme="majorBidi" w:hint="cs"/>
          <w:sz w:val="32"/>
          <w:szCs w:val="32"/>
          <w:rtl/>
          <w:lang w:bidi="ar-DZ"/>
        </w:rPr>
        <w:t>التسهيل على القارئ للعودة إلى مصادر البحث إذا أراد التأكد من صحة تلك المعلومات أو إذا أراد توسيع فهمه أكثر؛ فالاقتباسات كثيرا ما تُفصل من سياقاتها، وقد يحدث أن يجد القارئ صعوبة في فهمها، فيعود إلى مصدرها الأول فيقرأها على ضوء السياق الذي أخذت منه.</w:t>
      </w:r>
    </w:p>
    <w:p w:rsidR="00660FC9" w:rsidRDefault="00660FC9" w:rsidP="00660FC9">
      <w:pPr>
        <w:pStyle w:val="Paragraphedeliste"/>
        <w:numPr>
          <w:ilvl w:val="0"/>
          <w:numId w:val="2"/>
        </w:numPr>
        <w:bidi/>
        <w:spacing w:line="360" w:lineRule="auto"/>
        <w:jc w:val="highKashida"/>
        <w:rPr>
          <w:rFonts w:asciiTheme="majorBidi" w:hAnsiTheme="majorBidi" w:cstheme="majorBidi"/>
          <w:sz w:val="32"/>
          <w:szCs w:val="32"/>
          <w:lang w:bidi="ar-DZ"/>
        </w:rPr>
      </w:pPr>
      <w:r>
        <w:rPr>
          <w:rFonts w:asciiTheme="majorBidi" w:hAnsiTheme="majorBidi" w:cstheme="majorBidi" w:hint="cs"/>
          <w:sz w:val="32"/>
          <w:szCs w:val="32"/>
          <w:rtl/>
          <w:lang w:bidi="ar-DZ"/>
        </w:rPr>
        <w:t>تحرير الباحث من تحمل مسؤولياته اتجاه بعض الأفكار، خاصة إذا كانت ذات طابع أيديولوجي أو سياسي أو ديني؛ فالإحالة إلى المصدر يعني أنه ليس هو صاحب تلك الفكرة.</w:t>
      </w:r>
    </w:p>
    <w:p w:rsidR="00660FC9" w:rsidRDefault="00660FC9" w:rsidP="00660FC9">
      <w:pPr>
        <w:pStyle w:val="Paragraphedeliste"/>
        <w:numPr>
          <w:ilvl w:val="0"/>
          <w:numId w:val="2"/>
        </w:numPr>
        <w:bidi/>
        <w:spacing w:line="360" w:lineRule="auto"/>
        <w:jc w:val="highKashida"/>
        <w:rPr>
          <w:rFonts w:asciiTheme="majorBidi" w:hAnsiTheme="majorBidi" w:cstheme="majorBidi"/>
          <w:sz w:val="32"/>
          <w:szCs w:val="32"/>
          <w:lang w:bidi="ar-DZ"/>
        </w:rPr>
      </w:pPr>
    </w:p>
    <w:p w:rsidR="00660FC9" w:rsidRDefault="00660FC9" w:rsidP="00660FC9">
      <w:pPr>
        <w:bidi/>
        <w:spacing w:line="360" w:lineRule="auto"/>
        <w:jc w:val="highKashida"/>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lastRenderedPageBreak/>
        <w:t>كيف نهمّش؟</w:t>
      </w:r>
    </w:p>
    <w:p w:rsidR="00660FC9" w:rsidRDefault="00660FC9" w:rsidP="00660FC9">
      <w:pPr>
        <w:bidi/>
        <w:spacing w:line="360" w:lineRule="auto"/>
        <w:jc w:val="highKashida"/>
        <w:rPr>
          <w:rFonts w:asciiTheme="majorBidi" w:hAnsiTheme="majorBidi" w:cstheme="majorBidi"/>
          <w:sz w:val="32"/>
          <w:szCs w:val="32"/>
          <w:rtl/>
          <w:lang w:bidi="ar-DZ"/>
        </w:rPr>
      </w:pPr>
      <w:r>
        <w:rPr>
          <w:rFonts w:asciiTheme="majorBidi" w:hAnsiTheme="majorBidi" w:cstheme="majorBidi" w:hint="cs"/>
          <w:sz w:val="32"/>
          <w:szCs w:val="32"/>
          <w:rtl/>
          <w:lang w:bidi="ar-DZ"/>
        </w:rPr>
        <w:t>توجد طرق عديدة للتهميش، وهي طرق متفق عليها من قبل المجتمع المعرفي في العالم، وهي مختلفة باختلاف المدارس والبلدان.</w:t>
      </w:r>
    </w:p>
    <w:p w:rsidR="00660FC9" w:rsidRDefault="00660FC9" w:rsidP="00660FC9">
      <w:pPr>
        <w:bidi/>
        <w:spacing w:line="360" w:lineRule="auto"/>
        <w:jc w:val="highKashida"/>
        <w:rPr>
          <w:rFonts w:asciiTheme="majorBidi" w:hAnsiTheme="majorBidi" w:cstheme="majorBidi"/>
          <w:sz w:val="32"/>
          <w:szCs w:val="32"/>
          <w:rtl/>
          <w:lang w:bidi="ar-DZ"/>
        </w:rPr>
      </w:pPr>
      <w:r>
        <w:rPr>
          <w:rFonts w:asciiTheme="majorBidi" w:hAnsiTheme="majorBidi" w:cstheme="majorBidi" w:hint="cs"/>
          <w:sz w:val="32"/>
          <w:szCs w:val="32"/>
          <w:rtl/>
          <w:lang w:bidi="ar-DZ"/>
        </w:rPr>
        <w:t>بالنسبة لنا، سنعتمد على هذه الطريقة المعمول بها على نطاق واسع؛ فقط لابد من التذكير بمسألة جوهرية وهي أن على الباحث إذا اختار طريقة من طرق التهميش أن يلتزم بها طيلة البحث ولا يغيرها.</w:t>
      </w:r>
    </w:p>
    <w:p w:rsidR="00660FC9" w:rsidRDefault="00660FC9" w:rsidP="00660FC9">
      <w:pPr>
        <w:bidi/>
        <w:spacing w:line="360" w:lineRule="auto"/>
        <w:jc w:val="highKashida"/>
        <w:rPr>
          <w:rFonts w:asciiTheme="majorBidi" w:hAnsiTheme="majorBidi" w:cstheme="majorBidi"/>
          <w:sz w:val="32"/>
          <w:szCs w:val="32"/>
          <w:rtl/>
          <w:lang w:bidi="ar-DZ"/>
        </w:rPr>
      </w:pPr>
      <w:r>
        <w:rPr>
          <w:rFonts w:asciiTheme="majorBidi" w:hAnsiTheme="majorBidi" w:cstheme="majorBidi" w:hint="cs"/>
          <w:sz w:val="32"/>
          <w:szCs w:val="32"/>
          <w:rtl/>
          <w:lang w:bidi="ar-DZ"/>
        </w:rPr>
        <w:t>المثال:</w:t>
      </w:r>
    </w:p>
    <w:p w:rsidR="00660FC9" w:rsidRDefault="00660FC9" w:rsidP="00660FC9">
      <w:pPr>
        <w:pStyle w:val="Paragraphedeliste"/>
        <w:numPr>
          <w:ilvl w:val="0"/>
          <w:numId w:val="2"/>
        </w:numPr>
        <w:bidi/>
        <w:spacing w:line="360" w:lineRule="auto"/>
        <w:jc w:val="highKashida"/>
        <w:rPr>
          <w:rFonts w:asciiTheme="majorBidi" w:hAnsiTheme="majorBidi" w:cstheme="majorBidi"/>
          <w:b/>
          <w:bCs/>
          <w:sz w:val="32"/>
          <w:szCs w:val="32"/>
          <w:lang w:bidi="ar-DZ"/>
        </w:rPr>
      </w:pPr>
      <w:r w:rsidRPr="002F2D61">
        <w:rPr>
          <w:rFonts w:asciiTheme="majorBidi" w:hAnsiTheme="majorBidi" w:cstheme="majorBidi" w:hint="cs"/>
          <w:b/>
          <w:bCs/>
          <w:sz w:val="32"/>
          <w:szCs w:val="32"/>
          <w:rtl/>
          <w:lang w:bidi="ar-DZ"/>
        </w:rPr>
        <w:t>رينيه فان وايدنبرغ، إبستيمولوجيا القراءة والتأويل، تر: نجيب الحصادي، منشورات نادي الكتاب، المملكة العربية السعودية، ط01، 2024، ص</w:t>
      </w:r>
    </w:p>
    <w:p w:rsidR="00660FC9" w:rsidRDefault="00660FC9" w:rsidP="00660FC9">
      <w:pPr>
        <w:pStyle w:val="Paragraphedeliste"/>
        <w:numPr>
          <w:ilvl w:val="0"/>
          <w:numId w:val="2"/>
        </w:numPr>
        <w:bidi/>
        <w:spacing w:line="360" w:lineRule="auto"/>
        <w:jc w:val="highKashida"/>
        <w:rPr>
          <w:rFonts w:asciiTheme="majorBidi" w:hAnsiTheme="majorBidi" w:cstheme="majorBidi"/>
          <w:b/>
          <w:bCs/>
          <w:sz w:val="32"/>
          <w:szCs w:val="32"/>
          <w:lang w:bidi="ar-DZ"/>
        </w:rPr>
      </w:pPr>
      <w:r>
        <w:rPr>
          <w:rFonts w:asciiTheme="majorBidi" w:hAnsiTheme="majorBidi" w:cstheme="majorBidi" w:hint="cs"/>
          <w:b/>
          <w:bCs/>
          <w:sz w:val="32"/>
          <w:szCs w:val="32"/>
          <w:rtl/>
          <w:lang w:bidi="ar-DZ"/>
        </w:rPr>
        <w:t>فتحي المسكيني، الايمان الحر أو ما بعد الملة مباحث في فلسفة الدين، مؤمنون بلا حدود للدراسات والأبحاث، المملكة المغربية، ط01، 2018، ص</w:t>
      </w:r>
    </w:p>
    <w:p w:rsidR="00660FC9" w:rsidRPr="002F2D61" w:rsidRDefault="00660FC9" w:rsidP="00660FC9">
      <w:pPr>
        <w:bidi/>
        <w:spacing w:line="360" w:lineRule="auto"/>
        <w:jc w:val="highKashida"/>
        <w:rPr>
          <w:rFonts w:asciiTheme="majorBidi" w:hAnsiTheme="majorBidi" w:cstheme="majorBidi"/>
          <w:b/>
          <w:bCs/>
          <w:sz w:val="32"/>
          <w:szCs w:val="32"/>
          <w:rtl/>
          <w:lang w:bidi="ar-DZ"/>
        </w:rPr>
      </w:pPr>
    </w:p>
    <w:p w:rsidR="00660FC9" w:rsidRPr="002F2D61" w:rsidRDefault="00660FC9" w:rsidP="00660FC9">
      <w:pPr>
        <w:bidi/>
        <w:spacing w:line="360" w:lineRule="auto"/>
        <w:jc w:val="highKashida"/>
        <w:rPr>
          <w:rFonts w:asciiTheme="majorBidi" w:hAnsiTheme="majorBidi" w:cstheme="majorBidi"/>
          <w:b/>
          <w:bCs/>
          <w:sz w:val="32"/>
          <w:szCs w:val="32"/>
          <w:rtl/>
          <w:lang w:bidi="ar-DZ"/>
        </w:rPr>
      </w:pPr>
    </w:p>
    <w:p w:rsidR="00660FC9" w:rsidRDefault="00660FC9" w:rsidP="00660FC9">
      <w:pPr>
        <w:bidi/>
        <w:spacing w:line="360" w:lineRule="auto"/>
        <w:jc w:val="highKashida"/>
        <w:rPr>
          <w:rFonts w:asciiTheme="majorBidi" w:hAnsiTheme="majorBidi" w:cstheme="majorBidi"/>
          <w:b/>
          <w:bCs/>
          <w:sz w:val="32"/>
          <w:szCs w:val="32"/>
          <w:rtl/>
          <w:lang w:bidi="ar-DZ"/>
        </w:rPr>
      </w:pPr>
    </w:p>
    <w:p w:rsidR="00660FC9" w:rsidRDefault="00660FC9" w:rsidP="00660FC9">
      <w:pPr>
        <w:bidi/>
        <w:spacing w:line="360" w:lineRule="auto"/>
        <w:jc w:val="highKashida"/>
        <w:rPr>
          <w:rFonts w:asciiTheme="majorBidi" w:hAnsiTheme="majorBidi" w:cstheme="majorBidi"/>
          <w:b/>
          <w:bCs/>
          <w:sz w:val="32"/>
          <w:szCs w:val="32"/>
          <w:rtl/>
          <w:lang w:bidi="ar-DZ"/>
        </w:rPr>
      </w:pPr>
    </w:p>
    <w:p w:rsidR="00660FC9" w:rsidRDefault="00660FC9" w:rsidP="00660FC9">
      <w:pPr>
        <w:bidi/>
        <w:spacing w:line="360" w:lineRule="auto"/>
        <w:jc w:val="highKashida"/>
        <w:rPr>
          <w:rFonts w:asciiTheme="majorBidi" w:hAnsiTheme="majorBidi" w:cstheme="majorBidi"/>
          <w:b/>
          <w:bCs/>
          <w:sz w:val="32"/>
          <w:szCs w:val="32"/>
          <w:rtl/>
          <w:lang w:bidi="ar-DZ"/>
        </w:rPr>
      </w:pPr>
    </w:p>
    <w:p w:rsidR="00660FC9" w:rsidRDefault="00660FC9" w:rsidP="00660FC9">
      <w:pPr>
        <w:bidi/>
        <w:spacing w:line="360" w:lineRule="auto"/>
        <w:jc w:val="highKashida"/>
        <w:rPr>
          <w:rFonts w:asciiTheme="majorBidi" w:hAnsiTheme="majorBidi" w:cstheme="majorBidi"/>
          <w:b/>
          <w:bCs/>
          <w:sz w:val="32"/>
          <w:szCs w:val="32"/>
          <w:rtl/>
          <w:lang w:bidi="ar-DZ"/>
        </w:rPr>
      </w:pPr>
    </w:p>
    <w:p w:rsidR="00C30D36" w:rsidRPr="00660FC9" w:rsidRDefault="00C30D36" w:rsidP="00660FC9">
      <w:pPr>
        <w:rPr>
          <w:lang w:bidi="ar-DZ"/>
        </w:rPr>
      </w:pPr>
      <w:bookmarkStart w:id="0" w:name="_GoBack"/>
      <w:bookmarkEnd w:id="0"/>
    </w:p>
    <w:sectPr w:rsidR="00C30D36" w:rsidRPr="00660FC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438" w:rsidRDefault="000F5438" w:rsidP="00B54F66">
      <w:pPr>
        <w:spacing w:after="0" w:line="240" w:lineRule="auto"/>
      </w:pPr>
      <w:r>
        <w:separator/>
      </w:r>
    </w:p>
  </w:endnote>
  <w:endnote w:type="continuationSeparator" w:id="0">
    <w:p w:rsidR="000F5438" w:rsidRDefault="000F5438" w:rsidP="00B54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438" w:rsidRDefault="000F5438" w:rsidP="00B54F66">
      <w:pPr>
        <w:spacing w:after="0" w:line="240" w:lineRule="auto"/>
      </w:pPr>
      <w:r>
        <w:separator/>
      </w:r>
    </w:p>
  </w:footnote>
  <w:footnote w:type="continuationSeparator" w:id="0">
    <w:p w:rsidR="000F5438" w:rsidRDefault="000F5438" w:rsidP="00B54F66">
      <w:pPr>
        <w:spacing w:after="0" w:line="240" w:lineRule="auto"/>
      </w:pPr>
      <w:r>
        <w:continuationSeparator/>
      </w:r>
    </w:p>
  </w:footnote>
  <w:footnote w:id="1">
    <w:p w:rsidR="00660FC9" w:rsidRPr="00A05BD4" w:rsidRDefault="00660FC9" w:rsidP="00660FC9">
      <w:pPr>
        <w:pStyle w:val="Notedebasdepage"/>
        <w:bidi/>
        <w:rPr>
          <w:sz w:val="24"/>
          <w:szCs w:val="24"/>
          <w:rtl/>
          <w:lang w:bidi="ar-DZ"/>
        </w:rPr>
      </w:pPr>
      <w:r>
        <w:rPr>
          <w:rStyle w:val="Appelnotedebasdep"/>
        </w:rPr>
        <w:footnoteRef/>
      </w:r>
      <w:r>
        <w:t xml:space="preserve"> </w:t>
      </w:r>
      <w:r>
        <w:rPr>
          <w:rFonts w:hint="cs"/>
          <w:sz w:val="24"/>
          <w:szCs w:val="24"/>
          <w:rtl/>
          <w:lang w:bidi="ar-DZ"/>
        </w:rPr>
        <w:t>)- محمد عبيدات وآخرون، منهجية البحث العلمي القواعد والمراحل والتطبيقات، دار وائل للنشر الأردن، ط02، 1999، ص</w:t>
      </w:r>
    </w:p>
  </w:footnote>
  <w:footnote w:id="2">
    <w:p w:rsidR="00660FC9" w:rsidRPr="00683E26" w:rsidRDefault="00660FC9" w:rsidP="00660FC9">
      <w:pPr>
        <w:pStyle w:val="Notedebasdepage"/>
        <w:bidi/>
        <w:rPr>
          <w:sz w:val="24"/>
          <w:szCs w:val="24"/>
          <w:rtl/>
          <w:lang w:bidi="ar-DZ"/>
        </w:rPr>
      </w:pPr>
      <w:r>
        <w:rPr>
          <w:rStyle w:val="Appelnotedebasdep"/>
        </w:rPr>
        <w:footnoteRef/>
      </w:r>
      <w:r>
        <w:t xml:space="preserve"> </w:t>
      </w:r>
      <w:r>
        <w:rPr>
          <w:rFonts w:hint="cs"/>
          <w:sz w:val="24"/>
          <w:szCs w:val="24"/>
          <w:rtl/>
          <w:lang w:bidi="ar-DZ"/>
        </w:rPr>
        <w:t>)- خلف بوبكر، منهجية إعداد البحث العلمي الأكاديمي الناجح، منصور الواد ط01، 2022، ص47.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93D61"/>
    <w:multiLevelType w:val="hybridMultilevel"/>
    <w:tmpl w:val="F0E2BF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78423CF"/>
    <w:multiLevelType w:val="hybridMultilevel"/>
    <w:tmpl w:val="2B32908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A751864"/>
    <w:multiLevelType w:val="hybridMultilevel"/>
    <w:tmpl w:val="EDAEBA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22B4ACC"/>
    <w:multiLevelType w:val="hybridMultilevel"/>
    <w:tmpl w:val="CA103C8C"/>
    <w:lvl w:ilvl="0" w:tplc="71DA173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88A4ED8"/>
    <w:multiLevelType w:val="hybridMultilevel"/>
    <w:tmpl w:val="08BED6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D603AE5"/>
    <w:multiLevelType w:val="hybridMultilevel"/>
    <w:tmpl w:val="274040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2C23DB0"/>
    <w:multiLevelType w:val="hybridMultilevel"/>
    <w:tmpl w:val="ED9E73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6"/>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66"/>
    <w:rsid w:val="000F5438"/>
    <w:rsid w:val="005D6729"/>
    <w:rsid w:val="00660FC9"/>
    <w:rsid w:val="00B16E3A"/>
    <w:rsid w:val="00B54F66"/>
    <w:rsid w:val="00BB7CFA"/>
    <w:rsid w:val="00C30D36"/>
    <w:rsid w:val="00E91C3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E67100-0DAB-4D48-844F-262A9B19D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FC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54F66"/>
    <w:pPr>
      <w:ind w:left="720"/>
      <w:contextualSpacing/>
    </w:pPr>
  </w:style>
  <w:style w:type="paragraph" w:styleId="Notedebasdepage">
    <w:name w:val="footnote text"/>
    <w:basedOn w:val="Normal"/>
    <w:link w:val="NotedebasdepageCar"/>
    <w:uiPriority w:val="99"/>
    <w:semiHidden/>
    <w:unhideWhenUsed/>
    <w:rsid w:val="00B54F6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54F66"/>
    <w:rPr>
      <w:sz w:val="20"/>
      <w:szCs w:val="20"/>
    </w:rPr>
  </w:style>
  <w:style w:type="character" w:styleId="Appelnotedebasdep">
    <w:name w:val="footnote reference"/>
    <w:basedOn w:val="Policepardfaut"/>
    <w:uiPriority w:val="99"/>
    <w:semiHidden/>
    <w:unhideWhenUsed/>
    <w:rsid w:val="00B54F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413</Words>
  <Characters>2276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2024-01-07T20:51:00Z</dcterms:created>
  <dcterms:modified xsi:type="dcterms:W3CDTF">2024-01-07T20:51:00Z</dcterms:modified>
</cp:coreProperties>
</file>