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DA5030" w:rsidP="002825EF">
      <w:pPr>
        <w:tabs>
          <w:tab w:val="right" w:pos="2268"/>
        </w:tabs>
        <w:bidi/>
        <w:spacing w:after="0"/>
        <w:jc w:val="center"/>
        <w:outlineLvl w:val="0"/>
        <w:rPr>
          <w:rFonts w:ascii="Times New Roman" w:eastAsiaTheme="minorEastAsia" w:hAnsi="Times New Roman" w:cs="Times New Roman"/>
          <w:rtl/>
          <w:lang w:eastAsia="fr-FR" w:bidi="ar-DZ"/>
        </w:rPr>
      </w:pPr>
      <w:r w:rsidRPr="00DA5030">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DA5030">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0B169C" w:rsidRPr="006C5C52" w:rsidRDefault="006C5C52" w:rsidP="006C5C52">
      <w:pPr>
        <w:spacing w:line="360" w:lineRule="auto"/>
        <w:jc w:val="center"/>
        <w:rPr>
          <w:rFonts w:ascii="Algerian" w:hAnsi="Algerian"/>
          <w:b/>
          <w:bCs/>
          <w:sz w:val="40"/>
          <w:szCs w:val="40"/>
        </w:rPr>
      </w:pPr>
      <w:r w:rsidRPr="006C5C52">
        <w:rPr>
          <w:rFonts w:ascii="Algerian" w:hAnsi="Algerian"/>
          <w:b/>
          <w:bCs/>
          <w:sz w:val="40"/>
          <w:szCs w:val="40"/>
        </w:rPr>
        <w:t>Qu’est ce que le héro historique ?</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sz w:val="28"/>
          <w:szCs w:val="28"/>
        </w:rPr>
        <w:t xml:space="preserve">Le concept de héros historique désigne des figures emblématiques qui ont joué un rôle significatif dans l’histoire en raison de leurs actions, de leur leadership, de leurs valeurs ou de leur impact sur des événements majeurs. Ces personnages sont souvent célébrés pour leurs contributions à des causes considérées comme justes ou importantes, et ils peuvent incarner des idéaux ou des aspirations de leur époque. Voici plusieurs dimensions clés du concept de héros historique : </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t>1. Les caractéristiques du héros historique</w:t>
      </w:r>
      <w:r w:rsidRPr="006C5C52">
        <w:rPr>
          <w:rStyle w:val="x193iq5w"/>
          <w:rFonts w:asciiTheme="majorBidi" w:hAnsiTheme="majorBidi" w:cstheme="majorBidi"/>
          <w:sz w:val="28"/>
          <w:szCs w:val="28"/>
        </w:rPr>
        <w:t xml:space="preserve"> : Leadership et courage : Les héros historiques sont souvent des leaders charismatiques qui font preuve de courage face à l’adversité, que ce soit sur le champ de bataille, dans des mouvements sociaux ou politiques, ou lors de crises. Impact sur la société : Ils ont un impact significatif sur leur société, que ce soit par des réformes, des révolutions ou des actions qui changent le cours de l’histoire. Leur influence peut être à la fois positive (comme des réformateurs ou des libérateurs) ou négative (comme des conquérants ou des tyrans). Symbolisme : Ces personnages deviennent souvent des symboles d’idéal ou de valeurs, comme la liberté, la justice, l’honneur, ou le sacrifice. Ils sont célébrés dans des récits, des œuvres littéraires, des statues, et d’autres formes de commémoration. </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lastRenderedPageBreak/>
        <w:t>2. Leur représentation dans l'histoire</w:t>
      </w:r>
      <w:r w:rsidRPr="006C5C52">
        <w:rPr>
          <w:rStyle w:val="x193iq5w"/>
          <w:rFonts w:asciiTheme="majorBidi" w:hAnsiTheme="majorBidi" w:cstheme="majorBidi"/>
          <w:sz w:val="28"/>
          <w:szCs w:val="28"/>
        </w:rPr>
        <w:t xml:space="preserve"> : Les héros historiques sont souvent glorifiés dans les récits historiques, les biographies, les épopées, et les mythes nationaux. Ces représentations peuvent embellir leurs réalisations et minimiser leurs échecs ou aspects controversés. L’histoire des héros est parfois utilisée par les nations ou les cultures pour construire une identité collective, en célébrant des figures qui incarnent des idéaux communs. </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t>3. Les types de héros</w:t>
      </w:r>
      <w:r w:rsidRPr="006C5C52">
        <w:rPr>
          <w:rStyle w:val="x193iq5w"/>
          <w:rFonts w:asciiTheme="majorBidi" w:hAnsiTheme="majorBidi" w:cstheme="majorBidi"/>
          <w:sz w:val="28"/>
          <w:szCs w:val="28"/>
        </w:rPr>
        <w:t xml:space="preserve"> </w:t>
      </w:r>
      <w:r w:rsidRPr="006C5C52">
        <w:rPr>
          <w:rStyle w:val="x193iq5w"/>
          <w:rFonts w:asciiTheme="majorBidi" w:hAnsiTheme="majorBidi" w:cstheme="majorBidi"/>
          <w:b/>
          <w:bCs/>
          <w:sz w:val="32"/>
          <w:szCs w:val="32"/>
        </w:rPr>
        <w:t>historiques</w:t>
      </w:r>
      <w:r w:rsidRPr="006C5C52">
        <w:rPr>
          <w:rStyle w:val="x193iq5w"/>
          <w:rFonts w:asciiTheme="majorBidi" w:hAnsiTheme="majorBidi" w:cstheme="majorBidi"/>
          <w:sz w:val="28"/>
          <w:szCs w:val="28"/>
        </w:rPr>
        <w:t xml:space="preserve"> : Héros militaires : Des figures comme Alexandre le Grand, Napoléon Bonaparte, ou Hannibal, qui se sont illustrés par leur bravoure sur le champ de bataille et ont souvent changé le cours de l’histoire à travers des conquêtes. Réformateurs et leaders politiques : Des personnages comme Nelson Mandela, Martin Luther King Jr., ou Gandhi, qui ont mené des luttes pour les droits civils et la justice sociale, devenant des symboles de la lutte pour la liberté et l’égalité. Innovateurs et penseurs : Des figures comme Albert Einstein, Marie Curie, ou Léonard de Vinci, qui, par leurs découvertes et leur génie, ont transformé la science, la technologie ou l’art, laissant un héritage durable. Héros culturels : Des personnages issus de la mythologie ou de la littérature, comme Achille ou Arthur, qui, bien qu’ils soient fictifs, incarnent des valeurs ou des luttes humaines et sont souvent pris comme modèles.</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t xml:space="preserve"> 4. La construction du héros historique</w:t>
      </w:r>
      <w:r w:rsidRPr="006C5C52">
        <w:rPr>
          <w:rStyle w:val="x193iq5w"/>
          <w:rFonts w:asciiTheme="majorBidi" w:hAnsiTheme="majorBidi" w:cstheme="majorBidi"/>
          <w:sz w:val="28"/>
          <w:szCs w:val="28"/>
        </w:rPr>
        <w:t xml:space="preserve"> : La perception des héros historiques évolue avec le temps. Ce qui est considéré comme héroïque dans un contexte historique peut être réévalué plus tard en fonction de nouvelles perspectives, valeurs ou contextes. Les sociétés peuvent démythifier ou reconfigurer les récits des héros historiques pour répondre à leurs besoins contemporains. Par exemple, des figures historiquement célébrées peuvent être critiquées pour leurs actions controversées, ce qui peut amener à une relecture de leur héritage.</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lastRenderedPageBreak/>
        <w:t xml:space="preserve"> 5. La critique du concept de héros historique</w:t>
      </w:r>
      <w:r w:rsidRPr="006C5C52">
        <w:rPr>
          <w:rStyle w:val="x193iq5w"/>
          <w:rFonts w:asciiTheme="majorBidi" w:hAnsiTheme="majorBidi" w:cstheme="majorBidi"/>
          <w:sz w:val="28"/>
          <w:szCs w:val="28"/>
        </w:rPr>
        <w:t xml:space="preserve"> : Révision historique : Certains historiens remettent en question l’idée de héros, arguant que l’histoire est souvent façonnée par des dynamiques sociales et collectives plutôt que par les actions individuelles. Cela soulève des questions sur la manière dont nous célébrons des figures historiques et l’importance de comprendre les contextes dans lesquels elles ont agi. Héroïsation : L’héroïsation peut également mener à une simplification excessive de la complexité des événements historiques, où les nuances et les contradictions de la vie d’un héros sont souvent ignorées. Marginalisation des voix : La célébration de certains héros peut également conduire à la marginalisation d’autres voix, notamment celles des victimes ou des groupes souvent ignorés dans les récits dominants. </w:t>
      </w:r>
    </w:p>
    <w:p w:rsidR="006C5C52" w:rsidRDefault="006C5C52" w:rsidP="00A96BB7">
      <w:pPr>
        <w:spacing w:line="360" w:lineRule="auto"/>
        <w:ind w:firstLine="708"/>
        <w:jc w:val="both"/>
        <w:rPr>
          <w:rStyle w:val="x193iq5w"/>
          <w:rFonts w:asciiTheme="majorBidi" w:hAnsiTheme="majorBidi" w:cstheme="majorBidi"/>
          <w:sz w:val="28"/>
          <w:szCs w:val="28"/>
        </w:rPr>
      </w:pPr>
      <w:r w:rsidRPr="006C5C52">
        <w:rPr>
          <w:rStyle w:val="x193iq5w"/>
          <w:rFonts w:asciiTheme="majorBidi" w:hAnsiTheme="majorBidi" w:cstheme="majorBidi"/>
          <w:b/>
          <w:bCs/>
          <w:sz w:val="32"/>
          <w:szCs w:val="32"/>
        </w:rPr>
        <w:t>Conclusion :</w:t>
      </w:r>
      <w:r w:rsidRPr="006C5C52">
        <w:rPr>
          <w:rStyle w:val="x193iq5w"/>
          <w:rFonts w:asciiTheme="majorBidi" w:hAnsiTheme="majorBidi" w:cstheme="majorBidi"/>
          <w:sz w:val="28"/>
          <w:szCs w:val="28"/>
        </w:rPr>
        <w:t xml:space="preserve"> </w:t>
      </w:r>
    </w:p>
    <w:p w:rsidR="00BA63DC" w:rsidRPr="006C5C52" w:rsidRDefault="006C5C52" w:rsidP="00A96BB7">
      <w:pPr>
        <w:spacing w:line="360" w:lineRule="auto"/>
        <w:ind w:firstLine="708"/>
        <w:jc w:val="both"/>
        <w:rPr>
          <w:rFonts w:asciiTheme="majorBidi" w:hAnsiTheme="majorBidi" w:cstheme="majorBidi"/>
          <w:b/>
          <w:bCs/>
          <w:sz w:val="28"/>
          <w:szCs w:val="28"/>
        </w:rPr>
      </w:pPr>
      <w:r w:rsidRPr="006C5C52">
        <w:rPr>
          <w:rStyle w:val="x193iq5w"/>
          <w:rFonts w:asciiTheme="majorBidi" w:hAnsiTheme="majorBidi" w:cstheme="majorBidi"/>
          <w:sz w:val="28"/>
          <w:szCs w:val="28"/>
        </w:rPr>
        <w:t>Le héros historique est un concept qui souligne l'importance des individus dans le façonnement de l'histoire tout en suscitant des réflexions critiques sur la manière dont nous comprenons et interprétons le passé. Que ce soit à travers des actes de bravoure, des réformes sociales, ou des innovations, ces figures restent des symboles puissants d'idéaux humains et de luttes pour la justice et la liberté.</w:t>
      </w:r>
    </w:p>
    <w:sectPr w:rsidR="00BA63DC" w:rsidRPr="006C5C52"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23B" w:rsidRDefault="003C723B" w:rsidP="00935020">
      <w:pPr>
        <w:spacing w:after="0" w:line="240" w:lineRule="auto"/>
      </w:pPr>
      <w:r>
        <w:separator/>
      </w:r>
    </w:p>
  </w:endnote>
  <w:endnote w:type="continuationSeparator" w:id="1">
    <w:p w:rsidR="003C723B" w:rsidRDefault="003C723B"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DA5030">
        <w:pPr>
          <w:pStyle w:val="Pieddepage"/>
          <w:jc w:val="center"/>
        </w:pPr>
        <w:fldSimple w:instr=" PAGE   \* MERGEFORMAT ">
          <w:r w:rsidR="006C5C52">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23B" w:rsidRDefault="003C723B" w:rsidP="00935020">
      <w:pPr>
        <w:spacing w:after="0" w:line="240" w:lineRule="auto"/>
      </w:pPr>
      <w:r>
        <w:separator/>
      </w:r>
    </w:p>
  </w:footnote>
  <w:footnote w:type="continuationSeparator" w:id="1">
    <w:p w:rsidR="003C723B" w:rsidRDefault="003C723B"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B169C"/>
    <w:rsid w:val="002825EF"/>
    <w:rsid w:val="00392E55"/>
    <w:rsid w:val="003C723B"/>
    <w:rsid w:val="003E1A83"/>
    <w:rsid w:val="00444557"/>
    <w:rsid w:val="004B7DDF"/>
    <w:rsid w:val="006C5C52"/>
    <w:rsid w:val="006F1AFF"/>
    <w:rsid w:val="0075256E"/>
    <w:rsid w:val="00756680"/>
    <w:rsid w:val="00765B00"/>
    <w:rsid w:val="00835C0B"/>
    <w:rsid w:val="00887DFB"/>
    <w:rsid w:val="00935020"/>
    <w:rsid w:val="009C6453"/>
    <w:rsid w:val="00A96BB7"/>
    <w:rsid w:val="00B3139E"/>
    <w:rsid w:val="00BA63DC"/>
    <w:rsid w:val="00BA71FD"/>
    <w:rsid w:val="00DA50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10</cp:revision>
  <dcterms:created xsi:type="dcterms:W3CDTF">2024-10-01T21:17:00Z</dcterms:created>
  <dcterms:modified xsi:type="dcterms:W3CDTF">2024-10-01T22:25:00Z</dcterms:modified>
</cp:coreProperties>
</file>