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B074" w14:textId="77777777" w:rsidR="0046402D" w:rsidRDefault="0046402D" w:rsidP="0046402D">
      <w:pPr>
        <w:spacing w:after="200" w:line="276" w:lineRule="auto"/>
        <w:ind w:left="720" w:hanging="360"/>
        <w:contextualSpacing/>
        <w:jc w:val="both"/>
      </w:pPr>
    </w:p>
    <w:p w14:paraId="2CF0FA40" w14:textId="363F8539" w:rsidR="0046402D" w:rsidRPr="0046402D" w:rsidRDefault="0046402D" w:rsidP="0046402D">
      <w:pPr>
        <w:numPr>
          <w:ilvl w:val="0"/>
          <w:numId w:val="1"/>
        </w:numPr>
        <w:spacing w:after="200" w:line="276" w:lineRule="auto"/>
        <w:contextualSpacing/>
        <w:jc w:val="both"/>
        <w:rPr>
          <w:rFonts w:ascii="Times New Roman" w:eastAsia="Calibri" w:hAnsi="Times New Roman" w:cs="Times New Roman"/>
          <w:b/>
          <w:bCs/>
          <w:kern w:val="0"/>
          <w:sz w:val="28"/>
          <w:szCs w:val="28"/>
          <w14:ligatures w14:val="none"/>
        </w:rPr>
      </w:pPr>
      <w:r w:rsidRPr="0046402D">
        <w:rPr>
          <w:rFonts w:ascii="Times New Roman" w:eastAsia="Calibri" w:hAnsi="Times New Roman" w:cs="Times New Roman"/>
          <w:b/>
          <w:bCs/>
          <w:kern w:val="0"/>
          <w:sz w:val="28"/>
          <w:szCs w:val="28"/>
          <w14:ligatures w14:val="none"/>
        </w:rPr>
        <w:t>Quelques exemples</w:t>
      </w:r>
      <w:r w:rsidRPr="0046402D">
        <w:rPr>
          <w:rFonts w:ascii="Times New Roman" w:eastAsia="Calibri" w:hAnsi="Times New Roman" w:cs="Times New Roman"/>
          <w:b/>
          <w:bCs/>
          <w:kern w:val="0"/>
          <w:sz w:val="28"/>
          <w:szCs w:val="28"/>
          <w14:ligatures w14:val="none"/>
        </w:rPr>
        <w:t xml:space="preserve"> de types d’utilisation </w:t>
      </w:r>
    </w:p>
    <w:p w14:paraId="33BD4184" w14:textId="77777777" w:rsidR="0046402D" w:rsidRPr="0046402D" w:rsidRDefault="0046402D" w:rsidP="0046402D">
      <w:pPr>
        <w:spacing w:after="200" w:line="276" w:lineRule="auto"/>
        <w:ind w:left="360"/>
        <w:jc w:val="both"/>
        <w:rPr>
          <w:rFonts w:ascii="Times New Roman" w:eastAsia="Calibri" w:hAnsi="Times New Roman" w:cs="Times New Roman"/>
          <w:b/>
          <w:bCs/>
          <w:kern w:val="0"/>
          <w:sz w:val="28"/>
          <w:szCs w:val="28"/>
          <w14:ligatures w14:val="none"/>
        </w:rPr>
      </w:pPr>
      <w:r w:rsidRPr="0046402D">
        <w:rPr>
          <w:rFonts w:ascii="Times New Roman" w:eastAsia="Calibri" w:hAnsi="Times New Roman" w:cs="Times New Roman"/>
          <w:b/>
          <w:bCs/>
          <w:kern w:val="0"/>
          <w:sz w:val="28"/>
          <w:szCs w:val="28"/>
          <w14:ligatures w14:val="none"/>
        </w:rPr>
        <w:t>Dans le cadre de mutations, l’orientation pour dégripper, mettre en mouvement les salariés :</w:t>
      </w:r>
    </w:p>
    <w:p w14:paraId="7E873DBD" w14:textId="28C1533B"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Les structures importantes ne pouvant pas ou ne souhaitant pas licencier du personnel doivent néanmoins faire face aux évolutions techniques organisationnelles, elles ont besoin que les </w:t>
      </w:r>
      <w:r w:rsidRPr="0046402D">
        <w:rPr>
          <w:rFonts w:ascii="Times New Roman" w:eastAsia="Calibri" w:hAnsi="Times New Roman" w:cs="Times New Roman"/>
          <w:kern w:val="0"/>
          <w:sz w:val="28"/>
          <w:szCs w:val="28"/>
          <w14:ligatures w14:val="none"/>
        </w:rPr>
        <w:t>personnes évoluent</w:t>
      </w:r>
      <w:r w:rsidRPr="0046402D">
        <w:rPr>
          <w:rFonts w:ascii="Times New Roman" w:eastAsia="Calibri" w:hAnsi="Times New Roman" w:cs="Times New Roman"/>
          <w:kern w:val="0"/>
          <w:sz w:val="28"/>
          <w:szCs w:val="28"/>
          <w14:ligatures w14:val="none"/>
        </w:rPr>
        <w:t xml:space="preserve"> et suivent ces changements, les accompagnent. Ces organisations mettent en place un dispositif d’orientation en vue de stimuler et canaliser des flux de mobilité interne. </w:t>
      </w:r>
    </w:p>
    <w:p w14:paraId="2558853B"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b/>
          <w:bCs/>
          <w:kern w:val="0"/>
          <w:sz w:val="28"/>
          <w:szCs w:val="28"/>
          <w14:ligatures w14:val="none"/>
        </w:rPr>
        <w:t>Lors de reconversions, l’orientation pour atténuer les situations de crise </w:t>
      </w:r>
      <w:r w:rsidRPr="0046402D">
        <w:rPr>
          <w:rFonts w:ascii="Times New Roman" w:eastAsia="Calibri" w:hAnsi="Times New Roman" w:cs="Times New Roman"/>
          <w:kern w:val="0"/>
          <w:sz w:val="28"/>
          <w:szCs w:val="28"/>
          <w14:ligatures w14:val="none"/>
        </w:rPr>
        <w:t xml:space="preserve">: </w:t>
      </w:r>
    </w:p>
    <w:p w14:paraId="4FFBEECA"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Certains groupes importants ont des équipes de conseillers d’orientation qui interviennent longtemps en amont de la fermeture de sites ,ces conseillers stimulent les salaries dans leur projection sur l’avenir et les aident </w:t>
      </w:r>
      <w:proofErr w:type="spellStart"/>
      <w:r w:rsidRPr="0046402D">
        <w:rPr>
          <w:rFonts w:ascii="Times New Roman" w:eastAsia="Calibri" w:hAnsi="Times New Roman" w:cs="Times New Roman"/>
          <w:kern w:val="0"/>
          <w:sz w:val="28"/>
          <w:szCs w:val="28"/>
          <w14:ligatures w14:val="none"/>
        </w:rPr>
        <w:t>a</w:t>
      </w:r>
      <w:proofErr w:type="spellEnd"/>
      <w:r w:rsidRPr="0046402D">
        <w:rPr>
          <w:rFonts w:ascii="Times New Roman" w:eastAsia="Calibri" w:hAnsi="Times New Roman" w:cs="Times New Roman"/>
          <w:kern w:val="0"/>
          <w:sz w:val="28"/>
          <w:szCs w:val="28"/>
          <w14:ligatures w14:val="none"/>
        </w:rPr>
        <w:t xml:space="preserve"> identifier d’autres métiers et /ou postes ,cette utilisation de l’orientation est souvent associée à des dépenses de formation élevées, donc les conseillers doivent connaitre tous les moyens (formation et autres )permettant de combler les déficits de compétences observés entre les profils de compétences et les exigences du métier ou poste visé .</w:t>
      </w:r>
    </w:p>
    <w:p w14:paraId="0F04AABB" w14:textId="77777777" w:rsidR="0046402D" w:rsidRPr="0046402D" w:rsidRDefault="0046402D" w:rsidP="0046402D">
      <w:pPr>
        <w:spacing w:after="200" w:line="276" w:lineRule="auto"/>
        <w:jc w:val="both"/>
        <w:rPr>
          <w:rFonts w:ascii="Times New Roman" w:eastAsia="Calibri" w:hAnsi="Times New Roman" w:cs="Times New Roman"/>
          <w:b/>
          <w:bCs/>
          <w:kern w:val="0"/>
          <w:sz w:val="28"/>
          <w:szCs w:val="28"/>
          <w14:ligatures w14:val="none"/>
        </w:rPr>
      </w:pPr>
      <w:r w:rsidRPr="0046402D">
        <w:rPr>
          <w:rFonts w:ascii="Times New Roman" w:eastAsia="Calibri" w:hAnsi="Times New Roman" w:cs="Times New Roman"/>
          <w:b/>
          <w:bCs/>
          <w:kern w:val="0"/>
          <w:sz w:val="28"/>
          <w:szCs w:val="28"/>
          <w14:ligatures w14:val="none"/>
        </w:rPr>
        <w:t>En secteur très concurrentiel, l’orientation pour fidéliser :</w:t>
      </w:r>
    </w:p>
    <w:p w14:paraId="41167843"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 Des entreprises dans le secteurs de l’informatique </w:t>
      </w:r>
      <w:proofErr w:type="gramStart"/>
      <w:r w:rsidRPr="0046402D">
        <w:rPr>
          <w:rFonts w:ascii="Times New Roman" w:eastAsia="Calibri" w:hAnsi="Times New Roman" w:cs="Times New Roman"/>
          <w:kern w:val="0"/>
          <w:sz w:val="28"/>
          <w:szCs w:val="28"/>
          <w14:ligatures w14:val="none"/>
        </w:rPr>
        <w:t>notamment ,font</w:t>
      </w:r>
      <w:proofErr w:type="gramEnd"/>
      <w:r w:rsidRPr="0046402D">
        <w:rPr>
          <w:rFonts w:ascii="Times New Roman" w:eastAsia="Calibri" w:hAnsi="Times New Roman" w:cs="Times New Roman"/>
          <w:kern w:val="0"/>
          <w:sz w:val="28"/>
          <w:szCs w:val="28"/>
          <w14:ligatures w14:val="none"/>
        </w:rPr>
        <w:t xml:space="preserve"> face à des taux de turnover qui les mènent à s’interroger sur les modalités de fidélisation </w:t>
      </w:r>
      <w:proofErr w:type="spellStart"/>
      <w:r w:rsidRPr="0046402D">
        <w:rPr>
          <w:rFonts w:ascii="Times New Roman" w:eastAsia="Calibri" w:hAnsi="Times New Roman" w:cs="Times New Roman"/>
          <w:kern w:val="0"/>
          <w:sz w:val="28"/>
          <w:szCs w:val="28"/>
          <w14:ligatures w14:val="none"/>
        </w:rPr>
        <w:t>au delà</w:t>
      </w:r>
      <w:proofErr w:type="spellEnd"/>
      <w:r w:rsidRPr="0046402D">
        <w:rPr>
          <w:rFonts w:ascii="Times New Roman" w:eastAsia="Calibri" w:hAnsi="Times New Roman" w:cs="Times New Roman"/>
          <w:kern w:val="0"/>
          <w:sz w:val="28"/>
          <w:szCs w:val="28"/>
          <w14:ligatures w14:val="none"/>
        </w:rPr>
        <w:t xml:space="preserve"> des éléments de rémunération ,des prestations orientations permettent aux salariés qui le souhaitent de creuser les raisons de leur éventuelle insatisfaction de se projeter dans l’avenir ,de rencontrer d’autres salariés de l’entreprise ,ces démarches sont pour les salariés autant de moyens pour favoriser leur développement .</w:t>
      </w:r>
    </w:p>
    <w:p w14:paraId="16108240" w14:textId="77777777" w:rsidR="0046402D" w:rsidRPr="0046402D" w:rsidRDefault="0046402D" w:rsidP="0046402D">
      <w:pPr>
        <w:spacing w:after="200" w:line="276" w:lineRule="auto"/>
        <w:jc w:val="both"/>
        <w:rPr>
          <w:rFonts w:ascii="Times New Roman" w:eastAsia="Calibri" w:hAnsi="Times New Roman" w:cs="Times New Roman"/>
          <w:b/>
          <w:bCs/>
          <w:kern w:val="0"/>
          <w:sz w:val="28"/>
          <w:szCs w:val="28"/>
          <w14:ligatures w14:val="none"/>
        </w:rPr>
      </w:pPr>
      <w:r w:rsidRPr="0046402D">
        <w:rPr>
          <w:rFonts w:ascii="Times New Roman" w:eastAsia="Calibri" w:hAnsi="Times New Roman" w:cs="Times New Roman"/>
          <w:b/>
          <w:bCs/>
          <w:kern w:val="0"/>
          <w:sz w:val="28"/>
          <w:szCs w:val="28"/>
          <w14:ligatures w14:val="none"/>
        </w:rPr>
        <w:t>Partout, l’orientation pour compenser le manque de lisibilité :</w:t>
      </w:r>
    </w:p>
    <w:p w14:paraId="126197E9"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Bon nombre d’entreprises ne sont pas en mesure de proposer à leurs salariés des informations sur les emplois et leur évolution qui soient </w:t>
      </w:r>
      <w:proofErr w:type="spellStart"/>
      <w:r w:rsidRPr="0046402D">
        <w:rPr>
          <w:rFonts w:ascii="Times New Roman" w:eastAsia="Calibri" w:hAnsi="Times New Roman" w:cs="Times New Roman"/>
          <w:kern w:val="0"/>
          <w:sz w:val="28"/>
          <w:szCs w:val="28"/>
          <w14:ligatures w14:val="none"/>
        </w:rPr>
        <w:t>a</w:t>
      </w:r>
      <w:proofErr w:type="spellEnd"/>
      <w:r w:rsidRPr="0046402D">
        <w:rPr>
          <w:rFonts w:ascii="Times New Roman" w:eastAsia="Calibri" w:hAnsi="Times New Roman" w:cs="Times New Roman"/>
          <w:kern w:val="0"/>
          <w:sz w:val="28"/>
          <w:szCs w:val="28"/>
          <w14:ligatures w14:val="none"/>
        </w:rPr>
        <w:t xml:space="preserve"> la fois accessibles et compréhensibles ,sans ce type d’informations les salariés manquent de support  pour se projeter sur d’autres postes dans l’entreprise ,l’intervention de conseillers d’orientation peut permettre de compenser cette double opacité ( sur les possibilités d’évolution et sur les règles) ,ainsi les conseillers doivent ajouter au </w:t>
      </w:r>
      <w:r w:rsidRPr="0046402D">
        <w:rPr>
          <w:rFonts w:ascii="Times New Roman" w:eastAsia="Calibri" w:hAnsi="Times New Roman" w:cs="Times New Roman"/>
          <w:kern w:val="0"/>
          <w:sz w:val="28"/>
          <w:szCs w:val="28"/>
          <w14:ligatures w14:val="none"/>
        </w:rPr>
        <w:lastRenderedPageBreak/>
        <w:t>cœur de leurs prestations d’orientation ,l’accompagnement des salariés dans leurs interrogations sur les thèmes suivants :</w:t>
      </w:r>
    </w:p>
    <w:p w14:paraId="450D8422" w14:textId="77777777" w:rsidR="0046402D" w:rsidRPr="0046402D" w:rsidRDefault="0046402D" w:rsidP="0046402D">
      <w:pPr>
        <w:numPr>
          <w:ilvl w:val="0"/>
          <w:numId w:val="2"/>
        </w:numPr>
        <w:spacing w:after="200" w:line="276" w:lineRule="auto"/>
        <w:contextualSpacing/>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Quels sont les emplois actuels : leur contenu, les prérequis, les formations pour y accéder ?</w:t>
      </w:r>
    </w:p>
    <w:p w14:paraId="3292F8EC" w14:textId="77777777" w:rsidR="0046402D" w:rsidRPr="0046402D" w:rsidRDefault="0046402D" w:rsidP="0046402D">
      <w:pPr>
        <w:numPr>
          <w:ilvl w:val="0"/>
          <w:numId w:val="2"/>
        </w:numPr>
        <w:spacing w:after="200" w:line="276" w:lineRule="auto"/>
        <w:contextualSpacing/>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Quels sont les emplois qui apparaissent ?</w:t>
      </w:r>
    </w:p>
    <w:p w14:paraId="4B645724" w14:textId="77777777" w:rsidR="0046402D" w:rsidRPr="0046402D" w:rsidRDefault="0046402D" w:rsidP="0046402D">
      <w:pPr>
        <w:numPr>
          <w:ilvl w:val="0"/>
          <w:numId w:val="2"/>
        </w:numPr>
        <w:spacing w:after="200" w:line="276" w:lineRule="auto"/>
        <w:contextualSpacing/>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Comment se tenir au courant et à temps des recrutements internes ?</w:t>
      </w:r>
    </w:p>
    <w:p w14:paraId="636FDF03" w14:textId="77777777" w:rsidR="0046402D" w:rsidRPr="0046402D" w:rsidRDefault="0046402D" w:rsidP="0046402D">
      <w:pPr>
        <w:numPr>
          <w:ilvl w:val="0"/>
          <w:numId w:val="2"/>
        </w:numPr>
        <w:spacing w:after="200" w:line="276" w:lineRule="auto"/>
        <w:contextualSpacing/>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Comment et auprès de qui postuler ?</w:t>
      </w:r>
    </w:p>
    <w:p w14:paraId="55CB553F" w14:textId="77777777" w:rsidR="0046402D" w:rsidRPr="0046402D" w:rsidRDefault="0046402D" w:rsidP="0046402D">
      <w:pPr>
        <w:spacing w:after="200" w:line="276" w:lineRule="auto"/>
        <w:ind w:left="720"/>
        <w:contextualSpacing/>
        <w:jc w:val="both"/>
        <w:rPr>
          <w:rFonts w:ascii="Times New Roman" w:eastAsia="Calibri" w:hAnsi="Times New Roman" w:cs="Times New Roman"/>
          <w:kern w:val="0"/>
          <w:sz w:val="28"/>
          <w:szCs w:val="28"/>
          <w14:ligatures w14:val="none"/>
        </w:rPr>
      </w:pPr>
    </w:p>
    <w:p w14:paraId="749245F3" w14:textId="77777777" w:rsidR="0046402D" w:rsidRPr="0046402D" w:rsidRDefault="0046402D" w:rsidP="0046402D">
      <w:pPr>
        <w:numPr>
          <w:ilvl w:val="0"/>
          <w:numId w:val="1"/>
        </w:numPr>
        <w:spacing w:after="200" w:line="276" w:lineRule="auto"/>
        <w:contextualSpacing/>
        <w:jc w:val="both"/>
        <w:rPr>
          <w:rFonts w:ascii="Times New Roman" w:eastAsia="Calibri" w:hAnsi="Times New Roman" w:cs="Times New Roman"/>
          <w:b/>
          <w:bCs/>
          <w:kern w:val="0"/>
          <w:sz w:val="28"/>
          <w:szCs w:val="28"/>
          <w14:ligatures w14:val="none"/>
        </w:rPr>
      </w:pPr>
      <w:r w:rsidRPr="0046402D">
        <w:rPr>
          <w:rFonts w:ascii="Times New Roman" w:eastAsia="Calibri" w:hAnsi="Times New Roman" w:cs="Times New Roman"/>
          <w:b/>
          <w:bCs/>
          <w:kern w:val="0"/>
          <w:sz w:val="28"/>
          <w:szCs w:val="28"/>
          <w14:ligatures w14:val="none"/>
        </w:rPr>
        <w:t>Aux frontières de l’</w:t>
      </w:r>
      <w:proofErr w:type="spellStart"/>
      <w:r w:rsidRPr="0046402D">
        <w:rPr>
          <w:rFonts w:ascii="Times New Roman" w:eastAsia="Calibri" w:hAnsi="Times New Roman" w:cs="Times New Roman"/>
          <w:b/>
          <w:bCs/>
          <w:kern w:val="0"/>
          <w:sz w:val="28"/>
          <w:szCs w:val="28"/>
          <w14:ligatures w14:val="none"/>
        </w:rPr>
        <w:t>oriention</w:t>
      </w:r>
      <w:proofErr w:type="spellEnd"/>
    </w:p>
    <w:p w14:paraId="2A9262FB"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Il n y a pas de rupture nette permettent de conclure sur la nature de l’intervention – orientation ou gestion de carrière /bilan </w:t>
      </w:r>
      <w:proofErr w:type="gramStart"/>
      <w:r w:rsidRPr="0046402D">
        <w:rPr>
          <w:rFonts w:ascii="Times New Roman" w:eastAsia="Calibri" w:hAnsi="Times New Roman" w:cs="Times New Roman"/>
          <w:kern w:val="0"/>
          <w:sz w:val="28"/>
          <w:szCs w:val="28"/>
          <w14:ligatures w14:val="none"/>
        </w:rPr>
        <w:t>professionnel  -</w:t>
      </w:r>
      <w:proofErr w:type="gramEnd"/>
      <w:r w:rsidRPr="0046402D">
        <w:rPr>
          <w:rFonts w:ascii="Times New Roman" w:eastAsia="Calibri" w:hAnsi="Times New Roman" w:cs="Times New Roman"/>
          <w:kern w:val="0"/>
          <w:sz w:val="28"/>
          <w:szCs w:val="28"/>
          <w14:ligatures w14:val="none"/>
        </w:rPr>
        <w:t xml:space="preserve"> mais des continuum sur lesquels l’intervenant se situe entre deux extrêmes :</w:t>
      </w:r>
    </w:p>
    <w:p w14:paraId="4CEBF9A5" w14:textId="77777777" w:rsidR="0046402D" w:rsidRPr="0046402D" w:rsidRDefault="0046402D" w:rsidP="0046402D">
      <w:pPr>
        <w:numPr>
          <w:ilvl w:val="0"/>
          <w:numId w:val="3"/>
        </w:numPr>
        <w:spacing w:after="200" w:line="276" w:lineRule="auto"/>
        <w:contextualSpacing/>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Prise en compte du seul professionnalisme du salarié a un extrême et de la combinaison de l’expérience et des motivations a l’autre.</w:t>
      </w:r>
    </w:p>
    <w:p w14:paraId="13D50D34" w14:textId="77777777" w:rsidR="0046402D" w:rsidRPr="0046402D" w:rsidRDefault="0046402D" w:rsidP="0046402D">
      <w:pPr>
        <w:numPr>
          <w:ilvl w:val="0"/>
          <w:numId w:val="3"/>
        </w:numPr>
        <w:spacing w:after="200" w:line="276" w:lineRule="auto"/>
        <w:contextualSpacing/>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Positionnement du consultant </w:t>
      </w:r>
      <w:proofErr w:type="gramStart"/>
      <w:r w:rsidRPr="0046402D">
        <w:rPr>
          <w:rFonts w:ascii="Times New Roman" w:eastAsia="Calibri" w:hAnsi="Times New Roman" w:cs="Times New Roman"/>
          <w:kern w:val="0"/>
          <w:sz w:val="28"/>
          <w:szCs w:val="28"/>
          <w14:ligatures w14:val="none"/>
        </w:rPr>
        <w:t>comme  l’expert</w:t>
      </w:r>
      <w:proofErr w:type="gramEnd"/>
      <w:r w:rsidRPr="0046402D">
        <w:rPr>
          <w:rFonts w:ascii="Times New Roman" w:eastAsia="Calibri" w:hAnsi="Times New Roman" w:cs="Times New Roman"/>
          <w:kern w:val="0"/>
          <w:sz w:val="28"/>
          <w:szCs w:val="28"/>
          <w14:ligatures w14:val="none"/>
        </w:rPr>
        <w:t xml:space="preserve"> qui trouve les solutions versus le consultant qui anime et structure le processus d’orientation : l’attention et l’expertise portent alors plus sur le chemin que sur le ou les points d’arrivée.</w:t>
      </w:r>
    </w:p>
    <w:p w14:paraId="6F684AB2"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Le tableau suivant simplifie en les accentuant les </w:t>
      </w:r>
      <w:proofErr w:type="gramStart"/>
      <w:r w:rsidRPr="0046402D">
        <w:rPr>
          <w:rFonts w:ascii="Times New Roman" w:eastAsia="Calibri" w:hAnsi="Times New Roman" w:cs="Times New Roman"/>
          <w:kern w:val="0"/>
          <w:sz w:val="28"/>
          <w:szCs w:val="28"/>
          <w14:ligatures w14:val="none"/>
        </w:rPr>
        <w:t>différences  entre</w:t>
      </w:r>
      <w:proofErr w:type="gramEnd"/>
      <w:r w:rsidRPr="0046402D">
        <w:rPr>
          <w:rFonts w:ascii="Times New Roman" w:eastAsia="Calibri" w:hAnsi="Times New Roman" w:cs="Times New Roman"/>
          <w:kern w:val="0"/>
          <w:sz w:val="28"/>
          <w:szCs w:val="28"/>
          <w14:ligatures w14:val="none"/>
        </w:rPr>
        <w:t xml:space="preserve"> ces deux familles de prestations pour lesquelles la séparation est rarement nette </w:t>
      </w:r>
    </w:p>
    <w:p w14:paraId="0F068175"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p>
    <w:tbl>
      <w:tblPr>
        <w:tblW w:w="99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3"/>
        <w:gridCol w:w="3870"/>
        <w:gridCol w:w="3750"/>
      </w:tblGrid>
      <w:tr w:rsidR="0046402D" w:rsidRPr="0046402D" w14:paraId="0073ACE5" w14:textId="77777777" w:rsidTr="0046402D">
        <w:trPr>
          <w:trHeight w:val="420"/>
        </w:trPr>
        <w:tc>
          <w:tcPr>
            <w:tcW w:w="2363" w:type="dxa"/>
            <w:tcBorders>
              <w:top w:val="single" w:sz="4" w:space="0" w:color="auto"/>
              <w:left w:val="single" w:sz="4" w:space="0" w:color="auto"/>
              <w:bottom w:val="single" w:sz="4" w:space="0" w:color="auto"/>
              <w:right w:val="single" w:sz="4" w:space="0" w:color="auto"/>
            </w:tcBorders>
          </w:tcPr>
          <w:p w14:paraId="07A12379"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p>
        </w:tc>
        <w:tc>
          <w:tcPr>
            <w:tcW w:w="3870" w:type="dxa"/>
            <w:tcBorders>
              <w:top w:val="single" w:sz="4" w:space="0" w:color="auto"/>
              <w:left w:val="single" w:sz="4" w:space="0" w:color="auto"/>
              <w:bottom w:val="single" w:sz="4" w:space="0" w:color="auto"/>
              <w:right w:val="single" w:sz="4" w:space="0" w:color="auto"/>
            </w:tcBorders>
            <w:hideMark/>
          </w:tcPr>
          <w:p w14:paraId="4BDA94C0" w14:textId="77777777" w:rsidR="0046402D" w:rsidRPr="0046402D" w:rsidRDefault="0046402D" w:rsidP="0046402D">
            <w:pPr>
              <w:spacing w:after="200" w:line="276" w:lineRule="auto"/>
              <w:jc w:val="center"/>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Bilan professionnel</w:t>
            </w:r>
          </w:p>
        </w:tc>
        <w:tc>
          <w:tcPr>
            <w:tcW w:w="3750" w:type="dxa"/>
            <w:tcBorders>
              <w:top w:val="single" w:sz="4" w:space="0" w:color="auto"/>
              <w:left w:val="single" w:sz="4" w:space="0" w:color="auto"/>
              <w:bottom w:val="single" w:sz="4" w:space="0" w:color="auto"/>
              <w:right w:val="single" w:sz="4" w:space="0" w:color="auto"/>
            </w:tcBorders>
            <w:hideMark/>
          </w:tcPr>
          <w:p w14:paraId="1B8961A5" w14:textId="77777777" w:rsidR="0046402D" w:rsidRPr="0046402D" w:rsidRDefault="0046402D" w:rsidP="0046402D">
            <w:pPr>
              <w:spacing w:after="200" w:line="276" w:lineRule="auto"/>
              <w:jc w:val="center"/>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Bilan orientation</w:t>
            </w:r>
          </w:p>
        </w:tc>
      </w:tr>
      <w:tr w:rsidR="0046402D" w:rsidRPr="0046402D" w14:paraId="64DBA123" w14:textId="77777777" w:rsidTr="0046402D">
        <w:trPr>
          <w:trHeight w:val="1360"/>
        </w:trPr>
        <w:tc>
          <w:tcPr>
            <w:tcW w:w="2363" w:type="dxa"/>
            <w:tcBorders>
              <w:top w:val="single" w:sz="4" w:space="0" w:color="auto"/>
              <w:left w:val="single" w:sz="4" w:space="0" w:color="auto"/>
              <w:bottom w:val="single" w:sz="4" w:space="0" w:color="auto"/>
              <w:right w:val="single" w:sz="4" w:space="0" w:color="auto"/>
            </w:tcBorders>
          </w:tcPr>
          <w:p w14:paraId="70BC7846" w14:textId="77777777" w:rsidR="0046402D" w:rsidRPr="0046402D" w:rsidRDefault="0046402D" w:rsidP="0046402D">
            <w:pPr>
              <w:spacing w:after="200" w:line="276" w:lineRule="auto"/>
              <w:ind w:left="142"/>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Nature de la question posée </w:t>
            </w:r>
          </w:p>
          <w:p w14:paraId="095F0048"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p>
        </w:tc>
        <w:tc>
          <w:tcPr>
            <w:tcW w:w="3870" w:type="dxa"/>
            <w:tcBorders>
              <w:top w:val="single" w:sz="4" w:space="0" w:color="auto"/>
              <w:left w:val="single" w:sz="4" w:space="0" w:color="auto"/>
              <w:bottom w:val="single" w:sz="4" w:space="0" w:color="auto"/>
              <w:right w:val="single" w:sz="4" w:space="0" w:color="auto"/>
            </w:tcBorders>
            <w:hideMark/>
          </w:tcPr>
          <w:p w14:paraId="1C9A89EC"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Que peut-il faire à partir de son expérience et de ses compétences ?</w:t>
            </w:r>
          </w:p>
        </w:tc>
        <w:tc>
          <w:tcPr>
            <w:tcW w:w="3750" w:type="dxa"/>
            <w:tcBorders>
              <w:top w:val="single" w:sz="4" w:space="0" w:color="auto"/>
              <w:left w:val="single" w:sz="4" w:space="0" w:color="auto"/>
              <w:bottom w:val="single" w:sz="4" w:space="0" w:color="auto"/>
              <w:right w:val="single" w:sz="4" w:space="0" w:color="auto"/>
            </w:tcBorders>
            <w:hideMark/>
          </w:tcPr>
          <w:p w14:paraId="6FA9EC50"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Quel projet possible au carrefour de ses motivations et de ses compétences ? </w:t>
            </w:r>
          </w:p>
        </w:tc>
      </w:tr>
      <w:tr w:rsidR="0046402D" w:rsidRPr="0046402D" w14:paraId="36BE569A" w14:textId="77777777" w:rsidTr="0046402D">
        <w:trPr>
          <w:trHeight w:val="1063"/>
        </w:trPr>
        <w:tc>
          <w:tcPr>
            <w:tcW w:w="2363" w:type="dxa"/>
            <w:tcBorders>
              <w:top w:val="single" w:sz="4" w:space="0" w:color="auto"/>
              <w:left w:val="single" w:sz="4" w:space="0" w:color="auto"/>
              <w:bottom w:val="single" w:sz="4" w:space="0" w:color="auto"/>
              <w:right w:val="single" w:sz="4" w:space="0" w:color="auto"/>
            </w:tcBorders>
            <w:hideMark/>
          </w:tcPr>
          <w:p w14:paraId="58C1A117" w14:textId="77777777" w:rsidR="0046402D" w:rsidRPr="0046402D" w:rsidRDefault="0046402D" w:rsidP="0046402D">
            <w:pPr>
              <w:spacing w:after="200" w:line="276" w:lineRule="auto"/>
              <w:ind w:left="142"/>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Qui apporte la réponse </w:t>
            </w:r>
          </w:p>
        </w:tc>
        <w:tc>
          <w:tcPr>
            <w:tcW w:w="3870" w:type="dxa"/>
            <w:tcBorders>
              <w:top w:val="single" w:sz="4" w:space="0" w:color="auto"/>
              <w:left w:val="single" w:sz="4" w:space="0" w:color="auto"/>
              <w:bottom w:val="single" w:sz="4" w:space="0" w:color="auto"/>
              <w:right w:val="single" w:sz="4" w:space="0" w:color="auto"/>
            </w:tcBorders>
            <w:hideMark/>
          </w:tcPr>
          <w:p w14:paraId="174DE658"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Le conseiller structure le processus et apporte la réponse </w:t>
            </w:r>
          </w:p>
        </w:tc>
        <w:tc>
          <w:tcPr>
            <w:tcW w:w="3750" w:type="dxa"/>
            <w:tcBorders>
              <w:top w:val="single" w:sz="4" w:space="0" w:color="auto"/>
              <w:left w:val="single" w:sz="4" w:space="0" w:color="auto"/>
              <w:bottom w:val="single" w:sz="4" w:space="0" w:color="auto"/>
              <w:right w:val="single" w:sz="4" w:space="0" w:color="auto"/>
            </w:tcBorders>
            <w:hideMark/>
          </w:tcPr>
          <w:p w14:paraId="228A8288"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Le conseiller apporte le processus </w:t>
            </w:r>
          </w:p>
        </w:tc>
      </w:tr>
      <w:tr w:rsidR="0046402D" w:rsidRPr="0046402D" w14:paraId="6B7F474D" w14:textId="77777777" w:rsidTr="0046402D">
        <w:trPr>
          <w:trHeight w:val="2580"/>
        </w:trPr>
        <w:tc>
          <w:tcPr>
            <w:tcW w:w="2363" w:type="dxa"/>
            <w:tcBorders>
              <w:top w:val="single" w:sz="4" w:space="0" w:color="auto"/>
              <w:left w:val="single" w:sz="4" w:space="0" w:color="auto"/>
              <w:bottom w:val="single" w:sz="4" w:space="0" w:color="auto"/>
              <w:right w:val="single" w:sz="4" w:space="0" w:color="auto"/>
            </w:tcBorders>
          </w:tcPr>
          <w:p w14:paraId="3F0D1874" w14:textId="77777777" w:rsidR="0046402D" w:rsidRPr="0046402D" w:rsidRDefault="0046402D" w:rsidP="0046402D">
            <w:pPr>
              <w:spacing w:after="200" w:line="276" w:lineRule="auto"/>
              <w:ind w:left="142"/>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lastRenderedPageBreak/>
              <w:t xml:space="preserve">A partir de quelles familles de données </w:t>
            </w:r>
          </w:p>
          <w:p w14:paraId="746FF10E" w14:textId="77777777" w:rsidR="0046402D" w:rsidRPr="0046402D" w:rsidRDefault="0046402D" w:rsidP="0046402D">
            <w:pPr>
              <w:spacing w:after="200" w:line="276" w:lineRule="auto"/>
              <w:ind w:left="142"/>
              <w:jc w:val="both"/>
              <w:rPr>
                <w:rFonts w:ascii="Times New Roman" w:eastAsia="Calibri" w:hAnsi="Times New Roman" w:cs="Times New Roman"/>
                <w:kern w:val="0"/>
                <w:sz w:val="28"/>
                <w:szCs w:val="28"/>
                <w14:ligatures w14:val="none"/>
              </w:rPr>
            </w:pPr>
          </w:p>
          <w:p w14:paraId="057F9AE7"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br w:type="page"/>
            </w:r>
          </w:p>
        </w:tc>
        <w:tc>
          <w:tcPr>
            <w:tcW w:w="3870" w:type="dxa"/>
            <w:tcBorders>
              <w:top w:val="single" w:sz="4" w:space="0" w:color="auto"/>
              <w:left w:val="single" w:sz="4" w:space="0" w:color="auto"/>
              <w:bottom w:val="single" w:sz="4" w:space="0" w:color="auto"/>
              <w:right w:val="single" w:sz="4" w:space="0" w:color="auto"/>
            </w:tcBorders>
          </w:tcPr>
          <w:p w14:paraId="0B664A4A"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Données portant sur l’expérience : activités professionnelles, secteur, connaissances, éléments de contexte </w:t>
            </w:r>
          </w:p>
          <w:p w14:paraId="6E3CBF76"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p>
        </w:tc>
        <w:tc>
          <w:tcPr>
            <w:tcW w:w="3750" w:type="dxa"/>
            <w:tcBorders>
              <w:top w:val="single" w:sz="4" w:space="0" w:color="auto"/>
              <w:left w:val="single" w:sz="4" w:space="0" w:color="auto"/>
              <w:bottom w:val="single" w:sz="4" w:space="0" w:color="auto"/>
              <w:right w:val="single" w:sz="4" w:space="0" w:color="auto"/>
            </w:tcBorders>
            <w:hideMark/>
          </w:tcPr>
          <w:p w14:paraId="2B8A161E"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Données portant sur le profil personnel : intérêts, valeurs, aptitudes, connaissances, et sur le profil professionnel : compétences décrites en activités et contexte </w:t>
            </w:r>
          </w:p>
        </w:tc>
      </w:tr>
      <w:tr w:rsidR="0046402D" w:rsidRPr="0046402D" w14:paraId="1523F6FF" w14:textId="77777777" w:rsidTr="0046402D">
        <w:trPr>
          <w:trHeight w:val="807"/>
        </w:trPr>
        <w:tc>
          <w:tcPr>
            <w:tcW w:w="2363" w:type="dxa"/>
            <w:tcBorders>
              <w:top w:val="single" w:sz="4" w:space="0" w:color="auto"/>
              <w:left w:val="single" w:sz="4" w:space="0" w:color="auto"/>
              <w:bottom w:val="single" w:sz="4" w:space="0" w:color="auto"/>
              <w:right w:val="single" w:sz="4" w:space="0" w:color="auto"/>
            </w:tcBorders>
            <w:hideMark/>
          </w:tcPr>
          <w:p w14:paraId="0CDF3CFA"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Enjeux, difficultés </w:t>
            </w:r>
          </w:p>
        </w:tc>
        <w:tc>
          <w:tcPr>
            <w:tcW w:w="3870" w:type="dxa"/>
            <w:tcBorders>
              <w:top w:val="single" w:sz="4" w:space="0" w:color="auto"/>
              <w:left w:val="single" w:sz="4" w:space="0" w:color="auto"/>
              <w:bottom w:val="single" w:sz="4" w:space="0" w:color="auto"/>
              <w:right w:val="single" w:sz="4" w:space="0" w:color="auto"/>
            </w:tcBorders>
          </w:tcPr>
          <w:p w14:paraId="6B32FACA"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Optimiser les compétences </w:t>
            </w:r>
          </w:p>
          <w:p w14:paraId="1DCC0B86"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p>
        </w:tc>
        <w:tc>
          <w:tcPr>
            <w:tcW w:w="3750" w:type="dxa"/>
            <w:tcBorders>
              <w:top w:val="single" w:sz="4" w:space="0" w:color="auto"/>
              <w:left w:val="single" w:sz="4" w:space="0" w:color="auto"/>
              <w:bottom w:val="single" w:sz="4" w:space="0" w:color="auto"/>
              <w:right w:val="single" w:sz="4" w:space="0" w:color="auto"/>
            </w:tcBorders>
            <w:hideMark/>
          </w:tcPr>
          <w:p w14:paraId="37E2DC23"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Ouvrir réellement en restant réaliste </w:t>
            </w:r>
          </w:p>
        </w:tc>
      </w:tr>
      <w:tr w:rsidR="0046402D" w:rsidRPr="0046402D" w14:paraId="5943268C" w14:textId="77777777" w:rsidTr="0046402D">
        <w:trPr>
          <w:trHeight w:val="1350"/>
        </w:trPr>
        <w:tc>
          <w:tcPr>
            <w:tcW w:w="2363" w:type="dxa"/>
            <w:tcBorders>
              <w:top w:val="single" w:sz="4" w:space="0" w:color="auto"/>
              <w:left w:val="single" w:sz="4" w:space="0" w:color="auto"/>
              <w:bottom w:val="single" w:sz="4" w:space="0" w:color="auto"/>
              <w:right w:val="single" w:sz="4" w:space="0" w:color="auto"/>
            </w:tcBorders>
            <w:hideMark/>
          </w:tcPr>
          <w:p w14:paraId="1FC744AB"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Pour produire quel type de piste </w:t>
            </w:r>
          </w:p>
        </w:tc>
        <w:tc>
          <w:tcPr>
            <w:tcW w:w="3870" w:type="dxa"/>
            <w:tcBorders>
              <w:top w:val="single" w:sz="4" w:space="0" w:color="auto"/>
              <w:left w:val="single" w:sz="4" w:space="0" w:color="auto"/>
              <w:bottom w:val="single" w:sz="4" w:space="0" w:color="auto"/>
              <w:right w:val="single" w:sz="4" w:space="0" w:color="auto"/>
            </w:tcBorders>
            <w:hideMark/>
          </w:tcPr>
          <w:p w14:paraId="3AA21828"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 xml:space="preserve">Vers des emplois-métiers proches </w:t>
            </w:r>
          </w:p>
        </w:tc>
        <w:tc>
          <w:tcPr>
            <w:tcW w:w="3750" w:type="dxa"/>
            <w:tcBorders>
              <w:top w:val="single" w:sz="4" w:space="0" w:color="auto"/>
              <w:left w:val="single" w:sz="4" w:space="0" w:color="auto"/>
              <w:bottom w:val="single" w:sz="4" w:space="0" w:color="auto"/>
              <w:right w:val="single" w:sz="4" w:space="0" w:color="auto"/>
            </w:tcBorders>
          </w:tcPr>
          <w:p w14:paraId="77858DAB" w14:textId="77777777" w:rsidR="0046402D" w:rsidRPr="0046402D" w:rsidRDefault="0046402D" w:rsidP="0046402D">
            <w:pPr>
              <w:spacing w:after="200" w:line="276" w:lineRule="auto"/>
              <w:rPr>
                <w:rFonts w:ascii="Times New Roman" w:eastAsia="Calibri" w:hAnsi="Times New Roman" w:cs="Times New Roman"/>
                <w:kern w:val="0"/>
                <w:sz w:val="28"/>
                <w:szCs w:val="28"/>
                <w14:ligatures w14:val="none"/>
              </w:rPr>
            </w:pPr>
            <w:r w:rsidRPr="0046402D">
              <w:rPr>
                <w:rFonts w:ascii="Times New Roman" w:eastAsia="Calibri" w:hAnsi="Times New Roman" w:cs="Times New Roman"/>
                <w:kern w:val="0"/>
                <w:sz w:val="28"/>
                <w:szCs w:val="28"/>
                <w14:ligatures w14:val="none"/>
              </w:rPr>
              <w:t>Vers tout type d’emploi-métier sous réserve du niveau (qualification et formation)</w:t>
            </w:r>
          </w:p>
          <w:p w14:paraId="5998E2D7" w14:textId="77777777" w:rsidR="0046402D" w:rsidRPr="0046402D" w:rsidRDefault="0046402D" w:rsidP="0046402D">
            <w:pPr>
              <w:spacing w:after="200" w:line="276" w:lineRule="auto"/>
              <w:jc w:val="both"/>
              <w:rPr>
                <w:rFonts w:ascii="Times New Roman" w:eastAsia="Calibri" w:hAnsi="Times New Roman" w:cs="Times New Roman"/>
                <w:kern w:val="0"/>
                <w:sz w:val="28"/>
                <w:szCs w:val="28"/>
                <w14:ligatures w14:val="none"/>
              </w:rPr>
            </w:pPr>
          </w:p>
        </w:tc>
      </w:tr>
    </w:tbl>
    <w:p w14:paraId="2558CD41" w14:textId="77777777" w:rsidR="00812DFB" w:rsidRDefault="00812DFB"/>
    <w:sectPr w:rsidR="00812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40D0"/>
    <w:multiLevelType w:val="hybridMultilevel"/>
    <w:tmpl w:val="59FA1D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4D1869BC"/>
    <w:multiLevelType w:val="hybridMultilevel"/>
    <w:tmpl w:val="1FBA64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7AA1036"/>
    <w:multiLevelType w:val="hybridMultilevel"/>
    <w:tmpl w:val="32AA1BB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1699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590846">
    <w:abstractNumId w:val="2"/>
    <w:lvlOverride w:ilvl="0"/>
    <w:lvlOverride w:ilvl="1"/>
    <w:lvlOverride w:ilvl="2"/>
    <w:lvlOverride w:ilvl="3"/>
    <w:lvlOverride w:ilvl="4"/>
    <w:lvlOverride w:ilvl="5"/>
    <w:lvlOverride w:ilvl="6"/>
    <w:lvlOverride w:ilvl="7"/>
    <w:lvlOverride w:ilvl="8"/>
  </w:num>
  <w:num w:numId="3" w16cid:durableId="209578183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2D"/>
    <w:rsid w:val="0046402D"/>
    <w:rsid w:val="00812D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E38"/>
  <w15:chartTrackingRefBased/>
  <w15:docId w15:val="{60F6880E-0818-414F-AE70-2BE7E00E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3654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2023-12-04T17:17:00Z</dcterms:created>
  <dcterms:modified xsi:type="dcterms:W3CDTF">2023-12-04T17:19:00Z</dcterms:modified>
</cp:coreProperties>
</file>