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7ACB9" w14:textId="77777777" w:rsidR="00CF072B" w:rsidRPr="00CF072B" w:rsidRDefault="00CF072B" w:rsidP="00CF072B">
      <w:pPr>
        <w:numPr>
          <w:ilvl w:val="0"/>
          <w:numId w:val="1"/>
        </w:numPr>
        <w:spacing w:after="200" w:line="276" w:lineRule="auto"/>
        <w:contextualSpacing/>
        <w:jc w:val="both"/>
        <w:rPr>
          <w:rFonts w:ascii="Times New Roman" w:eastAsia="Calibri" w:hAnsi="Times New Roman" w:cs="Times New Roman"/>
          <w:b/>
          <w:bCs/>
          <w:kern w:val="0"/>
          <w:sz w:val="28"/>
          <w:szCs w:val="28"/>
          <w14:ligatures w14:val="none"/>
        </w:rPr>
      </w:pPr>
      <w:r w:rsidRPr="00CF072B">
        <w:rPr>
          <w:rFonts w:ascii="Times New Roman" w:eastAsia="Calibri" w:hAnsi="Times New Roman" w:cs="Times New Roman"/>
          <w:b/>
          <w:bCs/>
          <w:kern w:val="0"/>
          <w:sz w:val="28"/>
          <w:szCs w:val="28"/>
          <w14:ligatures w14:val="none"/>
        </w:rPr>
        <w:t xml:space="preserve">Les différentes fonctions de l’orientation </w:t>
      </w:r>
    </w:p>
    <w:p w14:paraId="7F19FB09" w14:textId="77777777" w:rsidR="00CF072B" w:rsidRPr="00CF072B" w:rsidRDefault="00CF072B" w:rsidP="00CF072B">
      <w:pPr>
        <w:spacing w:after="200" w:line="276" w:lineRule="auto"/>
        <w:jc w:val="both"/>
        <w:rPr>
          <w:rFonts w:ascii="Times New Roman" w:eastAsia="Calibri" w:hAnsi="Times New Roman" w:cs="Times New Roman"/>
          <w:kern w:val="0"/>
          <w:sz w:val="28"/>
          <w:szCs w:val="28"/>
          <w14:ligatures w14:val="none"/>
        </w:rPr>
      </w:pPr>
      <w:r w:rsidRPr="00CF072B">
        <w:rPr>
          <w:rFonts w:ascii="Times New Roman" w:eastAsia="Calibri" w:hAnsi="Times New Roman" w:cs="Times New Roman"/>
          <w:b/>
          <w:bCs/>
          <w:kern w:val="0"/>
          <w:sz w:val="28"/>
          <w:szCs w:val="28"/>
          <w14:ligatures w14:val="none"/>
        </w:rPr>
        <w:t>L’orientation réparatrice</w:t>
      </w:r>
      <w:r w:rsidRPr="00CF072B">
        <w:rPr>
          <w:rFonts w:ascii="Times New Roman" w:eastAsia="Calibri" w:hAnsi="Times New Roman" w:cs="Times New Roman"/>
          <w:kern w:val="0"/>
          <w:sz w:val="28"/>
          <w:szCs w:val="28"/>
          <w14:ligatures w14:val="none"/>
        </w:rPr>
        <w:t xml:space="preserve"> : </w:t>
      </w:r>
    </w:p>
    <w:p w14:paraId="22C09390" w14:textId="77777777" w:rsidR="00CF072B" w:rsidRPr="00CF072B" w:rsidRDefault="00CF072B" w:rsidP="00CF072B">
      <w:pPr>
        <w:spacing w:after="200" w:line="276" w:lineRule="auto"/>
        <w:jc w:val="both"/>
        <w:rPr>
          <w:rFonts w:ascii="Times New Roman" w:eastAsia="Calibri" w:hAnsi="Times New Roman" w:cs="Times New Roman"/>
          <w:kern w:val="0"/>
          <w:sz w:val="28"/>
          <w:szCs w:val="28"/>
          <w14:ligatures w14:val="none"/>
        </w:rPr>
      </w:pPr>
      <w:r w:rsidRPr="00CF072B">
        <w:rPr>
          <w:rFonts w:ascii="Times New Roman" w:eastAsia="Calibri" w:hAnsi="Times New Roman" w:cs="Times New Roman"/>
          <w:kern w:val="0"/>
          <w:sz w:val="28"/>
          <w:szCs w:val="28"/>
          <w14:ligatures w14:val="none"/>
        </w:rPr>
        <w:t>Vincent Merle s’interroge sur la fonction réparatrice de l’orientation. De fait cette formation s’observe tout au niveau de l’entreprise qu’au niveau des individus :</w:t>
      </w:r>
    </w:p>
    <w:p w14:paraId="50E9C890" w14:textId="6E44E0AE" w:rsidR="00CF072B" w:rsidRPr="00CF072B" w:rsidRDefault="00CF072B" w:rsidP="00CF072B">
      <w:pPr>
        <w:spacing w:after="200" w:line="276" w:lineRule="auto"/>
        <w:jc w:val="both"/>
        <w:rPr>
          <w:rFonts w:ascii="Times New Roman" w:eastAsia="Calibri" w:hAnsi="Times New Roman" w:cs="Times New Roman"/>
          <w:kern w:val="0"/>
          <w:sz w:val="28"/>
          <w:szCs w:val="28"/>
          <w14:ligatures w14:val="none"/>
        </w:rPr>
      </w:pPr>
      <w:r w:rsidRPr="00CF072B">
        <w:rPr>
          <w:rFonts w:ascii="Times New Roman" w:eastAsia="Calibri" w:hAnsi="Times New Roman" w:cs="Times New Roman"/>
          <w:kern w:val="0"/>
          <w:sz w:val="28"/>
          <w:szCs w:val="28"/>
          <w14:ligatures w14:val="none"/>
        </w:rPr>
        <w:t xml:space="preserve">Au niveau de l’entreprise l’absence de vision d’ensemble des métiers et des formations et la difficulté de compréhension de leurs liens sont typiquement compensés et </w:t>
      </w:r>
      <w:r w:rsidRPr="00CF072B">
        <w:rPr>
          <w:rFonts w:ascii="Times New Roman" w:eastAsia="Calibri" w:hAnsi="Times New Roman" w:cs="Times New Roman"/>
          <w:kern w:val="0"/>
          <w:sz w:val="28"/>
          <w:szCs w:val="28"/>
          <w14:ligatures w14:val="none"/>
        </w:rPr>
        <w:t>gérés par</w:t>
      </w:r>
      <w:r w:rsidRPr="00CF072B">
        <w:rPr>
          <w:rFonts w:ascii="Times New Roman" w:eastAsia="Calibri" w:hAnsi="Times New Roman" w:cs="Times New Roman"/>
          <w:kern w:val="0"/>
          <w:sz w:val="28"/>
          <w:szCs w:val="28"/>
          <w14:ligatures w14:val="none"/>
        </w:rPr>
        <w:t xml:space="preserve"> les conseillers d’orientation ils aident les salariés à se repérer dans cette absence d’informations pertinentes.</w:t>
      </w:r>
    </w:p>
    <w:p w14:paraId="33C02091" w14:textId="529F7A8F" w:rsidR="00CF072B" w:rsidRPr="00CF072B" w:rsidRDefault="00CF072B" w:rsidP="00CF072B">
      <w:pPr>
        <w:spacing w:after="200" w:line="276" w:lineRule="auto"/>
        <w:jc w:val="both"/>
        <w:rPr>
          <w:rFonts w:ascii="Times New Roman" w:eastAsia="Calibri" w:hAnsi="Times New Roman" w:cs="Times New Roman"/>
          <w:kern w:val="0"/>
          <w:sz w:val="28"/>
          <w:szCs w:val="28"/>
          <w14:ligatures w14:val="none"/>
        </w:rPr>
      </w:pPr>
      <w:r w:rsidRPr="00CF072B">
        <w:rPr>
          <w:rFonts w:ascii="Times New Roman" w:eastAsia="Calibri" w:hAnsi="Times New Roman" w:cs="Times New Roman"/>
          <w:kern w:val="0"/>
          <w:sz w:val="28"/>
          <w:szCs w:val="28"/>
          <w14:ligatures w14:val="none"/>
        </w:rPr>
        <w:t xml:space="preserve">Ces conseillers gagneraient à maitriser la structure des données sur les emplois et formation si toutefois celle-ci permet de sous- tendre des raisonnements pour les proximités et écarts il serait </w:t>
      </w:r>
      <w:r w:rsidRPr="00CF072B">
        <w:rPr>
          <w:rFonts w:ascii="Times New Roman" w:eastAsia="Calibri" w:hAnsi="Times New Roman" w:cs="Times New Roman"/>
          <w:kern w:val="0"/>
          <w:sz w:val="28"/>
          <w:szCs w:val="28"/>
          <w14:ligatures w14:val="none"/>
        </w:rPr>
        <w:t>optimum pour</w:t>
      </w:r>
      <w:r w:rsidRPr="00CF072B">
        <w:rPr>
          <w:rFonts w:ascii="Times New Roman" w:eastAsia="Calibri" w:hAnsi="Times New Roman" w:cs="Times New Roman"/>
          <w:kern w:val="0"/>
          <w:sz w:val="28"/>
          <w:szCs w:val="28"/>
          <w14:ligatures w14:val="none"/>
        </w:rPr>
        <w:t xml:space="preserve"> eux d’avoir des descriptions d’emploi présentées avec une partie commune à toutes les conditions d’exercice de cet emploi et une description de certaines </w:t>
      </w:r>
      <w:r w:rsidRPr="00CF072B">
        <w:rPr>
          <w:rFonts w:ascii="Times New Roman" w:eastAsia="Calibri" w:hAnsi="Times New Roman" w:cs="Times New Roman"/>
          <w:kern w:val="0"/>
          <w:sz w:val="28"/>
          <w:szCs w:val="28"/>
          <w14:ligatures w14:val="none"/>
        </w:rPr>
        <w:t>variations possibles</w:t>
      </w:r>
      <w:r w:rsidRPr="00CF072B">
        <w:rPr>
          <w:rFonts w:ascii="Times New Roman" w:eastAsia="Calibri" w:hAnsi="Times New Roman" w:cs="Times New Roman"/>
          <w:kern w:val="0"/>
          <w:sz w:val="28"/>
          <w:szCs w:val="28"/>
          <w14:ligatures w14:val="none"/>
        </w:rPr>
        <w:t xml:space="preserve"> en éclairant les critères ou pivots qui résument mieux ces différences.</w:t>
      </w:r>
    </w:p>
    <w:p w14:paraId="6CAE35DC" w14:textId="17F80FAB" w:rsidR="00CF072B" w:rsidRPr="00CF072B" w:rsidRDefault="00CF072B" w:rsidP="00CF072B">
      <w:pPr>
        <w:spacing w:after="200" w:line="276" w:lineRule="auto"/>
        <w:jc w:val="both"/>
        <w:rPr>
          <w:rFonts w:ascii="Times New Roman" w:eastAsia="Calibri" w:hAnsi="Times New Roman" w:cs="Times New Roman"/>
          <w:kern w:val="0"/>
          <w:sz w:val="28"/>
          <w:szCs w:val="28"/>
          <w14:ligatures w14:val="none"/>
        </w:rPr>
      </w:pPr>
      <w:r w:rsidRPr="00CF072B">
        <w:rPr>
          <w:rFonts w:ascii="Times New Roman" w:eastAsia="Calibri" w:hAnsi="Times New Roman" w:cs="Times New Roman"/>
          <w:kern w:val="0"/>
          <w:sz w:val="28"/>
          <w:szCs w:val="28"/>
          <w14:ligatures w14:val="none"/>
        </w:rPr>
        <w:t xml:space="preserve">Au niveau de l’individu une prestation d’orientation peut rattraper une situation difficile et aider à retrouver de l’air pour déboucher sur les changements, adaptés en nature et en degré, l’orientation peut être </w:t>
      </w:r>
      <w:r w:rsidRPr="00CF072B">
        <w:rPr>
          <w:rFonts w:ascii="Times New Roman" w:eastAsia="Calibri" w:hAnsi="Times New Roman" w:cs="Times New Roman"/>
          <w:kern w:val="0"/>
          <w:sz w:val="28"/>
          <w:szCs w:val="28"/>
          <w14:ligatures w14:val="none"/>
        </w:rPr>
        <w:t>utilisée comme</w:t>
      </w:r>
      <w:r w:rsidRPr="00CF072B">
        <w:rPr>
          <w:rFonts w:ascii="Times New Roman" w:eastAsia="Calibri" w:hAnsi="Times New Roman" w:cs="Times New Roman"/>
          <w:kern w:val="0"/>
          <w:sz w:val="28"/>
          <w:szCs w:val="28"/>
          <w14:ligatures w14:val="none"/>
        </w:rPr>
        <w:t xml:space="preserve"> une forme de réponse à des problèmes isolés, elle peut aussi permettre de traiter des problèmes identifiés.</w:t>
      </w:r>
    </w:p>
    <w:p w14:paraId="72553B4B" w14:textId="77777777" w:rsidR="00CF072B" w:rsidRPr="00CF072B" w:rsidRDefault="00CF072B" w:rsidP="00CF072B">
      <w:pPr>
        <w:spacing w:after="200" w:line="276" w:lineRule="auto"/>
        <w:jc w:val="both"/>
        <w:rPr>
          <w:rFonts w:ascii="Times New Roman" w:eastAsia="Calibri" w:hAnsi="Times New Roman" w:cs="Times New Roman"/>
          <w:b/>
          <w:bCs/>
          <w:kern w:val="0"/>
          <w:sz w:val="28"/>
          <w:szCs w:val="28"/>
          <w14:ligatures w14:val="none"/>
        </w:rPr>
      </w:pPr>
      <w:r w:rsidRPr="00CF072B">
        <w:rPr>
          <w:rFonts w:ascii="Times New Roman" w:eastAsia="Calibri" w:hAnsi="Times New Roman" w:cs="Times New Roman"/>
          <w:b/>
          <w:bCs/>
          <w:kern w:val="0"/>
          <w:sz w:val="28"/>
          <w:szCs w:val="28"/>
          <w14:ligatures w14:val="none"/>
        </w:rPr>
        <w:t>L’orientation dynamique agitatrice de mobilité :</w:t>
      </w:r>
    </w:p>
    <w:p w14:paraId="4AD0AE8C" w14:textId="2EBF7413" w:rsidR="00CF072B" w:rsidRPr="00CF072B" w:rsidRDefault="00CF072B" w:rsidP="00CF072B">
      <w:pPr>
        <w:spacing w:after="200" w:line="276" w:lineRule="auto"/>
        <w:jc w:val="both"/>
        <w:rPr>
          <w:rFonts w:ascii="Times New Roman" w:eastAsia="Calibri" w:hAnsi="Times New Roman" w:cs="Times New Roman"/>
          <w:kern w:val="0"/>
          <w:sz w:val="28"/>
          <w:szCs w:val="28"/>
          <w14:ligatures w14:val="none"/>
        </w:rPr>
      </w:pPr>
      <w:r w:rsidRPr="00CF072B">
        <w:rPr>
          <w:rFonts w:ascii="Times New Roman" w:eastAsia="Calibri" w:hAnsi="Times New Roman" w:cs="Times New Roman"/>
          <w:kern w:val="0"/>
          <w:sz w:val="28"/>
          <w:szCs w:val="28"/>
          <w14:ligatures w14:val="none"/>
        </w:rPr>
        <w:t>La mise à disposition de prestations d’orientation peut accélérer le souhait de changement, l’entreprise met dans les mains de ses salariés un équipement qui leur permet dans certaine mesure de s’auto-</w:t>
      </w:r>
      <w:r w:rsidRPr="00CF072B">
        <w:rPr>
          <w:rFonts w:ascii="Times New Roman" w:eastAsia="Calibri" w:hAnsi="Times New Roman" w:cs="Times New Roman"/>
          <w:kern w:val="0"/>
          <w:sz w:val="28"/>
          <w:szCs w:val="28"/>
          <w14:ligatures w14:val="none"/>
        </w:rPr>
        <w:t>déterminer.</w:t>
      </w:r>
    </w:p>
    <w:p w14:paraId="42C505E7" w14:textId="77777777" w:rsidR="00CF072B" w:rsidRPr="00CF072B" w:rsidRDefault="00CF072B" w:rsidP="00CF072B">
      <w:pPr>
        <w:numPr>
          <w:ilvl w:val="0"/>
          <w:numId w:val="1"/>
        </w:numPr>
        <w:spacing w:after="200" w:line="276" w:lineRule="auto"/>
        <w:contextualSpacing/>
        <w:jc w:val="both"/>
        <w:rPr>
          <w:rFonts w:ascii="Times New Roman" w:eastAsia="Calibri" w:hAnsi="Times New Roman" w:cs="Times New Roman"/>
          <w:b/>
          <w:bCs/>
          <w:kern w:val="0"/>
          <w:sz w:val="28"/>
          <w:szCs w:val="28"/>
          <w14:ligatures w14:val="none"/>
        </w:rPr>
      </w:pPr>
      <w:r w:rsidRPr="00CF072B">
        <w:rPr>
          <w:rFonts w:ascii="Times New Roman" w:eastAsia="Calibri" w:hAnsi="Times New Roman" w:cs="Times New Roman"/>
          <w:b/>
          <w:bCs/>
          <w:kern w:val="0"/>
          <w:sz w:val="28"/>
          <w:szCs w:val="28"/>
          <w14:ligatures w14:val="none"/>
        </w:rPr>
        <w:t xml:space="preserve">Les grands modèles de l’orientation </w:t>
      </w:r>
    </w:p>
    <w:p w14:paraId="1B804EFB" w14:textId="77777777" w:rsidR="00CF072B" w:rsidRPr="00CF072B" w:rsidRDefault="00CF072B" w:rsidP="00CF072B">
      <w:pPr>
        <w:spacing w:after="200" w:line="276" w:lineRule="auto"/>
        <w:jc w:val="both"/>
        <w:rPr>
          <w:rFonts w:ascii="Times New Roman" w:eastAsia="Calibri" w:hAnsi="Times New Roman" w:cs="Times New Roman"/>
          <w:b/>
          <w:bCs/>
          <w:kern w:val="0"/>
          <w:sz w:val="28"/>
          <w:szCs w:val="28"/>
          <w14:ligatures w14:val="none"/>
        </w:rPr>
      </w:pPr>
      <w:r w:rsidRPr="00CF072B">
        <w:rPr>
          <w:rFonts w:ascii="Times New Roman" w:eastAsia="Calibri" w:hAnsi="Times New Roman" w:cs="Times New Roman"/>
          <w:b/>
          <w:bCs/>
          <w:kern w:val="0"/>
          <w:sz w:val="28"/>
          <w:szCs w:val="28"/>
          <w14:ligatures w14:val="none"/>
        </w:rPr>
        <w:t>Le système professionnel et l’orientation vers des métiers :</w:t>
      </w:r>
    </w:p>
    <w:p w14:paraId="2462A16B" w14:textId="77777777" w:rsidR="00CF072B" w:rsidRPr="00CF072B" w:rsidRDefault="00CF072B" w:rsidP="00CF072B">
      <w:pPr>
        <w:spacing w:after="200" w:line="276" w:lineRule="auto"/>
        <w:jc w:val="both"/>
        <w:rPr>
          <w:rFonts w:ascii="Times New Roman" w:eastAsia="Calibri" w:hAnsi="Times New Roman" w:cs="Times New Roman"/>
          <w:kern w:val="0"/>
          <w:sz w:val="28"/>
          <w:szCs w:val="28"/>
          <w14:ligatures w14:val="none"/>
        </w:rPr>
      </w:pPr>
      <w:r w:rsidRPr="00CF072B">
        <w:rPr>
          <w:rFonts w:ascii="Times New Roman" w:eastAsia="Calibri" w:hAnsi="Times New Roman" w:cs="Times New Roman"/>
          <w:kern w:val="0"/>
          <w:sz w:val="28"/>
          <w:szCs w:val="28"/>
          <w14:ligatures w14:val="none"/>
        </w:rPr>
        <w:t>L’organisation qui  domine au début du siècle est le système professionnel de travail le salarié doit avoir des  « métiers », il détient un capital de savoirs et savoir –faire qu’il peut acquérir par un apprentissage .la notion d’aptitude est central ,il s’agit de prévoir le plus objectivement possible le métier auquel  va se préparer et qu’il devrait exercer pour le reste de son existence, le métier contribue à la définition de l’identité individuel dont il est souvent l’un des constituants majeurs.</w:t>
      </w:r>
    </w:p>
    <w:p w14:paraId="76D73C1E" w14:textId="77777777" w:rsidR="00CF072B" w:rsidRPr="00CF072B" w:rsidRDefault="00CF072B" w:rsidP="00CF072B">
      <w:pPr>
        <w:spacing w:after="200" w:line="276" w:lineRule="auto"/>
        <w:jc w:val="both"/>
        <w:rPr>
          <w:rFonts w:ascii="Times New Roman" w:eastAsia="Calibri" w:hAnsi="Times New Roman" w:cs="Times New Roman"/>
          <w:b/>
          <w:bCs/>
          <w:kern w:val="0"/>
          <w:sz w:val="28"/>
          <w:szCs w:val="28"/>
          <w14:ligatures w14:val="none"/>
        </w:rPr>
      </w:pPr>
      <w:r w:rsidRPr="00CF072B">
        <w:rPr>
          <w:rFonts w:ascii="Times New Roman" w:eastAsia="Calibri" w:hAnsi="Times New Roman" w:cs="Times New Roman"/>
          <w:b/>
          <w:bCs/>
          <w:kern w:val="0"/>
          <w:sz w:val="28"/>
          <w:szCs w:val="28"/>
          <w14:ligatures w14:val="none"/>
        </w:rPr>
        <w:t>L’orientation vers des emplois :</w:t>
      </w:r>
    </w:p>
    <w:p w14:paraId="3A2A3838" w14:textId="77777777" w:rsidR="00CF072B" w:rsidRPr="00CF072B" w:rsidRDefault="00CF072B" w:rsidP="00CF072B">
      <w:pPr>
        <w:spacing w:after="200" w:line="276" w:lineRule="auto"/>
        <w:jc w:val="both"/>
        <w:rPr>
          <w:rFonts w:ascii="Times New Roman" w:eastAsia="Calibri" w:hAnsi="Times New Roman" w:cs="Times New Roman"/>
          <w:kern w:val="0"/>
          <w:sz w:val="28"/>
          <w:szCs w:val="28"/>
          <w14:ligatures w14:val="none"/>
        </w:rPr>
      </w:pPr>
      <w:r w:rsidRPr="00CF072B">
        <w:rPr>
          <w:rFonts w:ascii="Times New Roman" w:eastAsia="Calibri" w:hAnsi="Times New Roman" w:cs="Times New Roman"/>
          <w:kern w:val="0"/>
          <w:sz w:val="28"/>
          <w:szCs w:val="28"/>
          <w14:ligatures w14:val="none"/>
        </w:rPr>
        <w:lastRenderedPageBreak/>
        <w:t>La notion des métiers et d’une orientation professionnelle fondée sur les aptitudes se trouvèrent radicalement en cause ,dans ce contexte le conseil en orientation professionnelle prend un sens différent de celui qu’il avait dans le modèle d’orientation vers un métier, la question des aptitudes personnelles n’est plus le cœur du problème, il s’agit avant tout de déterminer si le jeune s’adaptera à ces conditions de travail s’il se reconnaitra dans ces collectifs de production s’il partage déjà les valeurs de tel ou tel groupe de travailleurs .</w:t>
      </w:r>
    </w:p>
    <w:p w14:paraId="00BB96C9" w14:textId="5B399FF9" w:rsidR="00CF072B" w:rsidRPr="00CF072B" w:rsidRDefault="00CF072B" w:rsidP="00CF072B">
      <w:pPr>
        <w:spacing w:after="200" w:line="276" w:lineRule="auto"/>
        <w:jc w:val="both"/>
        <w:rPr>
          <w:rFonts w:ascii="Times New Roman" w:eastAsia="Calibri" w:hAnsi="Times New Roman" w:cs="Times New Roman"/>
          <w:kern w:val="0"/>
          <w:sz w:val="28"/>
          <w:szCs w:val="28"/>
          <w14:ligatures w14:val="none"/>
        </w:rPr>
      </w:pPr>
      <w:r w:rsidRPr="00CF072B">
        <w:rPr>
          <w:rFonts w:ascii="Times New Roman" w:eastAsia="Calibri" w:hAnsi="Times New Roman" w:cs="Times New Roman"/>
          <w:kern w:val="0"/>
          <w:sz w:val="28"/>
          <w:szCs w:val="28"/>
          <w14:ligatures w14:val="none"/>
        </w:rPr>
        <w:t xml:space="preserve">C’est pour cette raison que les outils d’orientation se développent  , en furent les approches en terme de valeurs en terme d’intérêt ,et les typologies professionnelles apparaissaient aux praticiens d’orientation comme des compléments utiles à l’approche en terme d’aptitude, malgré la forte croissance des emplois postés l’orientation professionnelle continua au moins en apparence à  procéder en se référant aux métiers du système professionnel du travail, le lien entre soi et l’activité professionnel avait </w:t>
      </w:r>
      <w:r w:rsidRPr="00CF072B">
        <w:rPr>
          <w:rFonts w:ascii="Times New Roman" w:eastAsia="Calibri" w:hAnsi="Times New Roman" w:cs="Times New Roman"/>
          <w:kern w:val="0"/>
          <w:sz w:val="28"/>
          <w:szCs w:val="28"/>
          <w14:ligatures w14:val="none"/>
        </w:rPr>
        <w:t>cessé</w:t>
      </w:r>
      <w:r w:rsidRPr="00CF072B">
        <w:rPr>
          <w:rFonts w:ascii="Times New Roman" w:eastAsia="Calibri" w:hAnsi="Times New Roman" w:cs="Times New Roman"/>
          <w:kern w:val="0"/>
          <w:sz w:val="28"/>
          <w:szCs w:val="28"/>
          <w14:ligatures w14:val="none"/>
        </w:rPr>
        <w:t xml:space="preserve"> d’être essentiel, insertion dans l’emploi avait désormais pour fondement principale la similitude de leurs représentations sociales et leurs valeurs et leurs intérêts .</w:t>
      </w:r>
    </w:p>
    <w:p w14:paraId="379459B6" w14:textId="77777777" w:rsidR="00CF072B" w:rsidRPr="00CF072B" w:rsidRDefault="00CF072B" w:rsidP="00CF072B">
      <w:pPr>
        <w:spacing w:after="200" w:line="276" w:lineRule="auto"/>
        <w:jc w:val="both"/>
        <w:rPr>
          <w:rFonts w:ascii="Times New Roman" w:eastAsia="Calibri" w:hAnsi="Times New Roman" w:cs="Times New Roman"/>
          <w:b/>
          <w:bCs/>
          <w:kern w:val="0"/>
          <w:sz w:val="28"/>
          <w:szCs w:val="28"/>
          <w14:ligatures w14:val="none"/>
        </w:rPr>
      </w:pPr>
      <w:r w:rsidRPr="00CF072B">
        <w:rPr>
          <w:rFonts w:ascii="Times New Roman" w:eastAsia="Calibri" w:hAnsi="Times New Roman" w:cs="Times New Roman"/>
          <w:b/>
          <w:bCs/>
          <w:kern w:val="0"/>
          <w:sz w:val="28"/>
          <w:szCs w:val="28"/>
          <w14:ligatures w14:val="none"/>
        </w:rPr>
        <w:t xml:space="preserve">Modèle de la compétence et orientation vers des fonctions professionnelles : </w:t>
      </w:r>
    </w:p>
    <w:p w14:paraId="514279E7" w14:textId="3C0B8FD1" w:rsidR="00CF072B" w:rsidRPr="00CF072B" w:rsidRDefault="00CF072B" w:rsidP="00CF072B">
      <w:pPr>
        <w:spacing w:after="200" w:line="276" w:lineRule="auto"/>
        <w:jc w:val="both"/>
        <w:rPr>
          <w:rFonts w:ascii="Times New Roman" w:eastAsia="Calibri" w:hAnsi="Times New Roman" w:cs="Times New Roman"/>
          <w:kern w:val="0"/>
          <w:sz w:val="28"/>
          <w:szCs w:val="28"/>
          <w14:ligatures w14:val="none"/>
        </w:rPr>
      </w:pPr>
      <w:r w:rsidRPr="00CF072B">
        <w:rPr>
          <w:rFonts w:ascii="Times New Roman" w:eastAsia="Calibri" w:hAnsi="Times New Roman" w:cs="Times New Roman"/>
          <w:kern w:val="0"/>
          <w:sz w:val="28"/>
          <w:szCs w:val="28"/>
          <w14:ligatures w14:val="none"/>
        </w:rPr>
        <w:t xml:space="preserve">Au cours de ces derniers décennies le développement de l’informatique constitua probablement l’un des facteurs importants sur deux point différencient : d’abord le travailleur y est perçu comme détenteur d’un capitale de compétence (différence de modèle 2)mais il est considère comme capable d’en développer de nouvelle notamment en fonction de l’évolution des situations de travail dans lesquelles il se trouve, on parle ainsi d’organisation qualifiante et de formation tout au long de la vie, cependant à la différence du modèle des aptitudes ,ces compétences apparaissent être étroitement liées aux contextes dans </w:t>
      </w:r>
      <w:r w:rsidRPr="00CF072B">
        <w:rPr>
          <w:rFonts w:ascii="Times New Roman" w:eastAsia="Calibri" w:hAnsi="Times New Roman" w:cs="Times New Roman"/>
          <w:kern w:val="0"/>
          <w:sz w:val="28"/>
          <w:szCs w:val="28"/>
          <w14:ligatures w14:val="none"/>
        </w:rPr>
        <w:t>lesquelles</w:t>
      </w:r>
      <w:r w:rsidRPr="00CF072B">
        <w:rPr>
          <w:rFonts w:ascii="Times New Roman" w:eastAsia="Calibri" w:hAnsi="Times New Roman" w:cs="Times New Roman"/>
          <w:kern w:val="0"/>
          <w:sz w:val="28"/>
          <w:szCs w:val="28"/>
          <w14:ligatures w14:val="none"/>
        </w:rPr>
        <w:t xml:space="preserve"> se manifestent c’est moins l’acteur professionnel en lui-même que les interactions professionnelles (rôle ,acteurs …)qui semble désormais centrales ,dans cette conception le travailleur est un agent qui influence d’une certain maniérer le contexte professionnel ,qui influence également de manière détermine les techniques de bilan de compétences et les procédures de validation et de reconnaissance des acquis qui sont les pratiques d’orientations paradigmatiques du système technique du travail .</w:t>
      </w:r>
    </w:p>
    <w:p w14:paraId="07DC1914" w14:textId="77777777" w:rsidR="00CF072B" w:rsidRDefault="00CF072B"/>
    <w:sectPr w:rsidR="00CF07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A40D0"/>
    <w:multiLevelType w:val="hybridMultilevel"/>
    <w:tmpl w:val="59FA1DE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941959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2B"/>
    <w:rsid w:val="00CF07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C1C4"/>
  <w15:chartTrackingRefBased/>
  <w15:docId w15:val="{3C4CBA43-2366-42F7-892C-C3C6251E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8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3947</Characters>
  <Application>Microsoft Office Word</Application>
  <DocSecurity>0</DocSecurity>
  <Lines>32</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2024-01-11T15:28:00Z</dcterms:created>
  <dcterms:modified xsi:type="dcterms:W3CDTF">2024-01-11T15:30:00Z</dcterms:modified>
</cp:coreProperties>
</file>