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7D6D0" w14:textId="666D03A4" w:rsidR="00121783" w:rsidRDefault="00E219EB" w:rsidP="00E219EB">
      <w:pPr>
        <w:pStyle w:val="Paragraphedeliste"/>
        <w:jc w:val="center"/>
        <w:rPr>
          <w:rFonts w:ascii="Sakkal Majalla" w:hAnsi="Sakkal Majalla" w:cs="Sakkal Majalla"/>
          <w:b/>
          <w:bCs/>
          <w:sz w:val="52"/>
          <w:szCs w:val="52"/>
          <w:u w:val="single"/>
          <w:rtl/>
          <w:lang w:bidi="ar-DZ"/>
        </w:rPr>
      </w:pPr>
      <w:r w:rsidRPr="00E219EB">
        <w:rPr>
          <w:rFonts w:ascii="Sakkal Majalla" w:hAnsi="Sakkal Majalla" w:cs="Sakkal Majalla"/>
          <w:b/>
          <w:bCs/>
          <w:sz w:val="52"/>
          <w:szCs w:val="52"/>
          <w:u w:val="single"/>
          <w:rtl/>
          <w:lang w:bidi="ar-DZ"/>
        </w:rPr>
        <w:t>نظرية العقد</w:t>
      </w:r>
      <w:r>
        <w:rPr>
          <w:rFonts w:ascii="Sakkal Majalla" w:hAnsi="Sakkal Majalla" w:cs="Sakkal Majalla" w:hint="cs"/>
          <w:b/>
          <w:bCs/>
          <w:sz w:val="52"/>
          <w:szCs w:val="52"/>
          <w:u w:val="single"/>
          <w:rtl/>
          <w:lang w:bidi="ar-DZ"/>
        </w:rPr>
        <w:t xml:space="preserve"> (تمهيد)</w:t>
      </w:r>
    </w:p>
    <w:p w14:paraId="3AC3284A" w14:textId="17D0237D" w:rsidR="00E219EB" w:rsidRDefault="00E219EB" w:rsidP="00E219EB">
      <w:pPr>
        <w:bidi/>
        <w:spacing w:after="0" w:line="276" w:lineRule="auto"/>
        <w:ind w:firstLine="426"/>
        <w:jc w:val="both"/>
        <w:rPr>
          <w:rFonts w:ascii="Sakkal Majalla" w:hAnsi="Sakkal Majalla" w:cs="Sakkal Majalla"/>
          <w:sz w:val="36"/>
          <w:szCs w:val="36"/>
          <w:rtl/>
          <w:lang w:bidi="ar-DZ"/>
        </w:rPr>
      </w:pPr>
      <w:r w:rsidRPr="00FC31B6">
        <w:rPr>
          <w:rFonts w:ascii="Sakkal Majalla" w:hAnsi="Sakkal Majalla" w:cs="Sakkal Majalla" w:hint="cs"/>
          <w:sz w:val="36"/>
          <w:szCs w:val="36"/>
          <w:rtl/>
          <w:lang w:bidi="ar-DZ"/>
        </w:rPr>
        <w:t xml:space="preserve">تتوالى مواضيع القانون المدني وتتسلسل عبر مسار الطالب بطريقة منهجية، فبعد </w:t>
      </w:r>
      <w:r>
        <w:rPr>
          <w:rFonts w:ascii="Sakkal Majalla" w:hAnsi="Sakkal Majalla" w:cs="Sakkal Majalla" w:hint="cs"/>
          <w:sz w:val="36"/>
          <w:szCs w:val="36"/>
          <w:rtl/>
          <w:lang w:bidi="ar-DZ"/>
        </w:rPr>
        <w:t xml:space="preserve">التطرّق إلى </w:t>
      </w:r>
      <w:r w:rsidRPr="00FC31B6">
        <w:rPr>
          <w:rFonts w:ascii="Sakkal Majalla" w:hAnsi="Sakkal Majalla" w:cs="Sakkal Majalla" w:hint="cs"/>
          <w:sz w:val="36"/>
          <w:szCs w:val="36"/>
          <w:rtl/>
          <w:lang w:bidi="ar-DZ"/>
        </w:rPr>
        <w:t>نظرية الحق خلال السداسي</w:t>
      </w:r>
      <w:r>
        <w:rPr>
          <w:rFonts w:ascii="Sakkal Majalla" w:hAnsi="Sakkal Majalla" w:cs="Sakkal Majalla" w:hint="cs"/>
          <w:sz w:val="36"/>
          <w:szCs w:val="36"/>
          <w:rtl/>
          <w:lang w:bidi="ar-DZ"/>
        </w:rPr>
        <w:t xml:space="preserve"> الثّاني</w:t>
      </w:r>
      <w:r w:rsidRPr="00FC31B6">
        <w:rPr>
          <w:rFonts w:ascii="Sakkal Majalla" w:hAnsi="Sakkal Majalla" w:cs="Sakkal Majalla" w:hint="cs"/>
          <w:sz w:val="36"/>
          <w:szCs w:val="36"/>
          <w:rtl/>
          <w:lang w:bidi="ar-DZ"/>
        </w:rPr>
        <w:t xml:space="preserve"> من</w:t>
      </w:r>
      <w:r>
        <w:rPr>
          <w:rFonts w:ascii="Sakkal Majalla" w:hAnsi="Sakkal Majalla" w:cs="Sakkal Majalla" w:hint="cs"/>
          <w:sz w:val="36"/>
          <w:szCs w:val="36"/>
          <w:rtl/>
          <w:lang w:bidi="ar-DZ"/>
        </w:rPr>
        <w:t xml:space="preserve"> السّنة الأوّل</w:t>
      </w:r>
      <w:r w:rsidRPr="00FC31B6">
        <w:rPr>
          <w:rFonts w:ascii="Sakkal Majalla" w:hAnsi="Sakkal Majalla" w:cs="Sakkal Majalla" w:hint="cs"/>
          <w:sz w:val="36"/>
          <w:szCs w:val="36"/>
          <w:rtl/>
          <w:lang w:bidi="ar-DZ"/>
        </w:rPr>
        <w:t xml:space="preserve">ى ليسانس، </w:t>
      </w:r>
      <w:r>
        <w:rPr>
          <w:rFonts w:ascii="Sakkal Majalla" w:hAnsi="Sakkal Majalla" w:cs="Sakkal Majalla" w:hint="cs"/>
          <w:sz w:val="36"/>
          <w:szCs w:val="36"/>
          <w:rtl/>
          <w:lang w:bidi="ar-DZ"/>
        </w:rPr>
        <w:t>يتم دراسة نظرية الالتزام في السداسي الأوّل من السّنة الثّانية. فالحق الذي يعرف على أنّه: "ميزة يمنحها القانون لشخص ويحميها بطرق قانونية ويكون له بمقتضاها الحق في التصرّف متسلطا على مال معترف له بصفة مالكا أو مستحقا له"، ينقسم إلى عديد الأقسام بحسب زاوية الدراسة ومنها التقسيم إلى حقوق عينية وحقوق شخصية.</w:t>
      </w:r>
    </w:p>
    <w:p w14:paraId="6BED726D" w14:textId="26EE2F41" w:rsidR="00E219EB" w:rsidRDefault="00E219EB" w:rsidP="00E219E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sz w:val="36"/>
          <w:szCs w:val="36"/>
          <w:rtl/>
          <w:lang w:bidi="ar-DZ"/>
        </w:rPr>
        <w:tab/>
      </w:r>
      <w:r>
        <w:rPr>
          <w:rFonts w:ascii="Sakkal Majalla" w:hAnsi="Sakkal Majalla" w:cs="Sakkal Majalla" w:hint="cs"/>
          <w:sz w:val="36"/>
          <w:szCs w:val="36"/>
          <w:rtl/>
          <w:lang w:bidi="ar-DZ"/>
        </w:rPr>
        <w:t xml:space="preserve">فإذا كان الحق العيني يُعبّر عن سلطة لشخص على شيء معيّن، فإنّ الحق الشّخصي عبارة عن "علاقة قانونية بين شخصين، أحدهما دائن والآخر مدين"، من هذا الجانب يتضح أنّه ما يعتبر حق بالنّسبة للدّائن هو التزام بالنّسبة للمدين، فالحق الشخصي والالتزام هما وجهين لعملة واحدة. </w:t>
      </w:r>
    </w:p>
    <w:p w14:paraId="0F4BADBF" w14:textId="44879770" w:rsidR="00E219EB" w:rsidRDefault="00E219EB" w:rsidP="00E219E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sz w:val="36"/>
          <w:szCs w:val="36"/>
          <w:rtl/>
          <w:lang w:bidi="ar-DZ"/>
        </w:rPr>
        <w:tab/>
      </w:r>
      <w:r>
        <w:rPr>
          <w:rFonts w:ascii="Sakkal Majalla" w:hAnsi="Sakkal Majalla" w:cs="Sakkal Majalla" w:hint="cs"/>
          <w:sz w:val="36"/>
          <w:szCs w:val="36"/>
          <w:rtl/>
          <w:lang w:bidi="ar-DZ"/>
        </w:rPr>
        <w:t>فالالتزام وفق ما يراه الأستاذ السنهوري هو "حالة قانونية يرتبط بمقتضاها شخص معيّن بنقل حق عيني أو بالقيام بعمل أو بالامتناع عن عمل"، حيث مزج الأستاذ في تعريفه بين المذهب المادي والمذهب الشّخصي لتعريف الالتزام.</w:t>
      </w:r>
    </w:p>
    <w:p w14:paraId="65552C76" w14:textId="77777777" w:rsidR="00E219EB" w:rsidRDefault="00E219EB" w:rsidP="00E219E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sz w:val="36"/>
          <w:szCs w:val="36"/>
          <w:rtl/>
          <w:lang w:bidi="ar-DZ"/>
        </w:rPr>
        <w:tab/>
      </w:r>
      <w:r>
        <w:rPr>
          <w:rFonts w:ascii="Sakkal Majalla" w:hAnsi="Sakkal Majalla" w:cs="Sakkal Majalla" w:hint="cs"/>
          <w:sz w:val="36"/>
          <w:szCs w:val="36"/>
          <w:rtl/>
          <w:lang w:bidi="ar-DZ"/>
        </w:rPr>
        <w:t>تتعدد أنواع الالتزام بحسب تعدد الزوايا التي يُدرس منها، ودون الخوض في سرد جميع التقسيمات، نقتصر فقط على التقسيمات التي لها علاقة مباشرة بنظرية العقد (وهو مجال الدراسة في هذه المحاضرات)، حيث يمكن التّمييز بين التقسيم التقليدي والتقسيم الحديث للالتزام.</w:t>
      </w:r>
    </w:p>
    <w:p w14:paraId="0F978DED" w14:textId="08E06777" w:rsidR="00E219EB" w:rsidRDefault="00E219EB" w:rsidP="00E219EB">
      <w:pPr>
        <w:bidi/>
        <w:spacing w:after="0" w:line="276" w:lineRule="auto"/>
        <w:ind w:firstLine="426"/>
        <w:jc w:val="both"/>
        <w:rPr>
          <w:rFonts w:ascii="Sakkal Majalla" w:hAnsi="Sakkal Majalla" w:cs="Sakkal Majalla"/>
          <w:sz w:val="36"/>
          <w:szCs w:val="36"/>
          <w:lang w:bidi="ar-DZ"/>
        </w:rPr>
      </w:pPr>
      <w:r>
        <w:rPr>
          <w:rFonts w:ascii="Sakkal Majalla" w:hAnsi="Sakkal Majalla" w:cs="Sakkal Majalla" w:hint="cs"/>
          <w:sz w:val="36"/>
          <w:szCs w:val="36"/>
          <w:rtl/>
          <w:lang w:bidi="ar-DZ"/>
        </w:rPr>
        <w:t xml:space="preserve">يميّز التّقسيم التقليدي للالتزام بين الالتزام بالقيام بعمل، الامتناع عن عمل، والالتزام بإعطاء شيء، فمحل الالتزام بالقيام بعمل هو أداء المدين لعمل معيّن لمصلحة الدّائن كالتزام الممثل بأداء دور معيّن في مسرحية، أمّا محل الالتزام بالامتناع عن عمل، فهو بالعكس اتخاذ موقف سلبي بعدم الإتيان بالعمل المتفق عليه كامتناع بائع المحل التّجاري عن فتح محل تجاري </w:t>
      </w:r>
      <w:r>
        <w:rPr>
          <w:rFonts w:ascii="Sakkal Majalla" w:hAnsi="Sakkal Majalla" w:cs="Sakkal Majalla" w:hint="cs"/>
          <w:sz w:val="36"/>
          <w:szCs w:val="36"/>
          <w:rtl/>
          <w:lang w:bidi="ar-DZ"/>
        </w:rPr>
        <w:lastRenderedPageBreak/>
        <w:t>آخر في المنطقة نفسها التي باع فيها المحل الأوّل. في حين أنّ في الالتزام بإعطاء شيء، يلتزم المدين بنقل ملكية شيء معين للدّائن</w:t>
      </w:r>
      <w:r>
        <w:rPr>
          <w:rFonts w:ascii="Sakkal Majalla" w:hAnsi="Sakkal Majalla" w:cs="Sakkal Majalla"/>
          <w:sz w:val="36"/>
          <w:szCs w:val="36"/>
          <w:lang w:bidi="ar-DZ"/>
        </w:rPr>
        <w:t>.</w:t>
      </w:r>
    </w:p>
    <w:p w14:paraId="442C7585" w14:textId="23EDFECC" w:rsidR="00E219EB" w:rsidRDefault="00E219EB" w:rsidP="00E219EB">
      <w:pPr>
        <w:bidi/>
        <w:spacing w:after="0" w:line="276" w:lineRule="auto"/>
        <w:ind w:firstLine="426"/>
        <w:jc w:val="both"/>
        <w:rPr>
          <w:rFonts w:ascii="Sakkal Majalla" w:hAnsi="Sakkal Majalla" w:cs="Sakkal Majalla"/>
          <w:sz w:val="36"/>
          <w:szCs w:val="36"/>
          <w:lang w:bidi="ar-DZ"/>
        </w:rPr>
      </w:pPr>
      <w:r>
        <w:rPr>
          <w:rFonts w:ascii="Sakkal Majalla" w:hAnsi="Sakkal Majalla" w:cs="Sakkal Majalla" w:hint="cs"/>
          <w:sz w:val="36"/>
          <w:szCs w:val="36"/>
          <w:rtl/>
          <w:lang w:bidi="ar-DZ"/>
        </w:rPr>
        <w:t xml:space="preserve">أمّا التّقسيم الحديث، فهو يميّز بين الالتزام ببذل عناية والالتزام بتحقيق نتيجة. يعود أصل هذا التّمييز إلى الفقيه </w:t>
      </w:r>
      <w:proofErr w:type="spellStart"/>
      <w:proofErr w:type="gramStart"/>
      <w:r>
        <w:rPr>
          <w:rFonts w:ascii="Sakkal Majalla" w:hAnsi="Sakkal Majalla" w:cs="Sakkal Majalla" w:hint="cs"/>
          <w:sz w:val="36"/>
          <w:szCs w:val="36"/>
          <w:rtl/>
          <w:lang w:bidi="ar-DZ"/>
        </w:rPr>
        <w:t>ديموج</w:t>
      </w:r>
      <w:proofErr w:type="spellEnd"/>
      <w:r>
        <w:rPr>
          <w:rFonts w:ascii="Sakkal Majalla" w:hAnsi="Sakkal Majalla" w:cs="Sakkal Majalla" w:hint="cs"/>
          <w:sz w:val="36"/>
          <w:szCs w:val="36"/>
          <w:rtl/>
          <w:lang w:bidi="ar-DZ"/>
        </w:rPr>
        <w:t xml:space="preserve">  </w:t>
      </w:r>
      <w:r>
        <w:rPr>
          <w:rFonts w:ascii="Sakkal Majalla" w:hAnsi="Sakkal Majalla" w:cs="Sakkal Majalla"/>
          <w:sz w:val="36"/>
          <w:szCs w:val="36"/>
          <w:lang w:bidi="ar-DZ"/>
        </w:rPr>
        <w:t>Demogue</w:t>
      </w:r>
      <w:proofErr w:type="gramEnd"/>
      <w:r>
        <w:rPr>
          <w:rFonts w:ascii="Sakkal Majalla" w:hAnsi="Sakkal Majalla" w:cs="Sakkal Majalla" w:hint="cs"/>
          <w:sz w:val="36"/>
          <w:szCs w:val="36"/>
          <w:rtl/>
          <w:lang w:bidi="ar-DZ"/>
        </w:rPr>
        <w:t xml:space="preserve"> الذي يرى بأنهّ</w:t>
      </w:r>
      <w:r>
        <w:rPr>
          <w:rFonts w:ascii="Sakkal Majalla" w:hAnsi="Sakkal Majalla" w:cs="Sakkal Majalla"/>
          <w:sz w:val="36"/>
          <w:szCs w:val="36"/>
          <w:lang w:bidi="ar-DZ"/>
        </w:rPr>
        <w:t xml:space="preserve"> </w:t>
      </w:r>
      <w:r>
        <w:rPr>
          <w:rFonts w:ascii="Sakkal Majalla" w:hAnsi="Sakkal Majalla" w:cs="Sakkal Majalla" w:hint="cs"/>
          <w:sz w:val="36"/>
          <w:szCs w:val="36"/>
          <w:rtl/>
          <w:lang w:bidi="ar-DZ"/>
        </w:rPr>
        <w:t>حين يتعلّق الأمر بإثبات تنفيذ المدين لالتزامه أو عدم تنفيذه له، فإنّ: "الالتزام الذي يقع على المدين يختلف من حيث طبيعته. فقد يكون التزام ببذل عناية أو التزام بتحقيق نتيجة"</w:t>
      </w:r>
      <w:r>
        <w:rPr>
          <w:rFonts w:ascii="Sakkal Majalla" w:hAnsi="Sakkal Majalla" w:cs="Sakkal Majalla"/>
          <w:sz w:val="36"/>
          <w:szCs w:val="36"/>
          <w:lang w:bidi="ar-DZ"/>
        </w:rPr>
        <w:t>.</w:t>
      </w:r>
      <w:r>
        <w:rPr>
          <w:rFonts w:ascii="Sakkal Majalla" w:hAnsi="Sakkal Majalla" w:cs="Sakkal Majalla" w:hint="cs"/>
          <w:sz w:val="36"/>
          <w:szCs w:val="36"/>
          <w:rtl/>
          <w:lang w:bidi="ar-DZ"/>
        </w:rPr>
        <w:t xml:space="preserve"> </w:t>
      </w:r>
    </w:p>
    <w:p w14:paraId="78A54089" w14:textId="5655BECE" w:rsidR="00E219EB" w:rsidRDefault="00E219EB" w:rsidP="00E219EB">
      <w:pPr>
        <w:bidi/>
        <w:spacing w:after="0" w:line="276" w:lineRule="auto"/>
        <w:ind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والمقصود بالالتزام ببذل العناية، التزام المدين عند تنفيذه لالتزاماته التحلي بالحذر واليقظة دون أن يكون ملزما بتحقيق النتيجة المنتظرة من هذا التنفيذ في حين أنّ الالتزام بتحقيق نتيجة هو الالتزام الذي يستوجب على المدين الوصول إلى غاية معينة من تنفيذ الالتزام، إذ يعتبر المدين مخلا بالتزامه في حالة عدم تحقق تلك النّتيجة.</w:t>
      </w:r>
    </w:p>
    <w:p w14:paraId="76A9C413" w14:textId="3285C439" w:rsidR="00E219EB" w:rsidRDefault="00E219EB" w:rsidP="00E219EB">
      <w:pPr>
        <w:bidi/>
        <w:spacing w:after="0" w:line="276" w:lineRule="auto"/>
        <w:ind w:firstLine="426"/>
        <w:jc w:val="both"/>
        <w:rPr>
          <w:rFonts w:ascii="Sakkal Majalla" w:hAnsi="Sakkal Majalla" w:cs="Sakkal Majalla"/>
          <w:sz w:val="36"/>
          <w:szCs w:val="36"/>
          <w:lang w:bidi="ar-DZ"/>
        </w:rPr>
      </w:pPr>
      <w:r>
        <w:rPr>
          <w:rFonts w:ascii="Sakkal Majalla" w:hAnsi="Sakkal Majalla" w:cs="Sakkal Majalla" w:hint="cs"/>
          <w:sz w:val="36"/>
          <w:szCs w:val="36"/>
          <w:rtl/>
          <w:lang w:bidi="ar-DZ"/>
        </w:rPr>
        <w:t xml:space="preserve">وقد سبق ذكر أنّ الفقيه </w:t>
      </w:r>
      <w:proofErr w:type="spellStart"/>
      <w:r>
        <w:rPr>
          <w:rFonts w:ascii="Sakkal Majalla" w:hAnsi="Sakkal Majalla" w:cs="Sakkal Majalla" w:hint="cs"/>
          <w:sz w:val="36"/>
          <w:szCs w:val="36"/>
          <w:rtl/>
          <w:lang w:bidi="ar-DZ"/>
        </w:rPr>
        <w:t>ديموج</w:t>
      </w:r>
      <w:proofErr w:type="spellEnd"/>
      <w:proofErr w:type="gramStart"/>
      <w:r>
        <w:rPr>
          <w:rFonts w:ascii="Sakkal Majalla" w:hAnsi="Sakkal Majalla" w:cs="Sakkal Majalla"/>
          <w:sz w:val="36"/>
          <w:szCs w:val="36"/>
          <w:lang w:bidi="ar-DZ"/>
        </w:rPr>
        <w:t xml:space="preserve">DEMOGUE </w:t>
      </w:r>
      <w:r>
        <w:rPr>
          <w:rFonts w:ascii="Sakkal Majalla" w:hAnsi="Sakkal Majalla" w:cs="Sakkal Majalla" w:hint="cs"/>
          <w:sz w:val="36"/>
          <w:szCs w:val="36"/>
          <w:rtl/>
          <w:lang w:bidi="ar-DZ"/>
        </w:rPr>
        <w:t xml:space="preserve"> لمّا</w:t>
      </w:r>
      <w:proofErr w:type="gramEnd"/>
      <w:r>
        <w:rPr>
          <w:rFonts w:ascii="Sakkal Majalla" w:hAnsi="Sakkal Majalla" w:cs="Sakkal Majalla" w:hint="cs"/>
          <w:sz w:val="36"/>
          <w:szCs w:val="36"/>
          <w:rtl/>
          <w:lang w:bidi="ar-DZ"/>
        </w:rPr>
        <w:t xml:space="preserve"> ميّز بين الالتزام ببذل عناية والالتزام بتحقيق نتيجة، كان ذلك بصدد التّمييز بين الالتزامات من حيث الإثبات، إذ أنّه في الالتزام ببذل عناية، يقع على الدّائن إثبات إخلال المدين بالتزامه، عن طريق إقامة الدليل على تهاونه أو عدم حيطته عند التنفيذ، ما أدى إلى عدم تحقق النتيجة المنتظرة. في حين أنّه في الالتزام بتحقيق نتيجة، يكفي للدّائن إثبات عدم تحقق النتيجة المنتظرة من تنفيذ الالتزام من أجل قيام مسؤولية المدين، ما لم يثبت هذا الأخير أنّ عدم تحقق النتيجة المنتظرة يعود إلى سبب أجنبي.</w:t>
      </w:r>
    </w:p>
    <w:p w14:paraId="2C389172" w14:textId="77777777" w:rsidR="00E219EB" w:rsidRPr="00E219EB" w:rsidRDefault="00E219EB" w:rsidP="00E219EB">
      <w:pPr>
        <w:pStyle w:val="Paragraphedeliste"/>
        <w:jc w:val="center"/>
        <w:rPr>
          <w:rFonts w:ascii="Sakkal Majalla" w:hAnsi="Sakkal Majalla" w:cs="Sakkal Majalla"/>
          <w:b/>
          <w:bCs/>
          <w:sz w:val="52"/>
          <w:szCs w:val="52"/>
          <w:u w:val="single"/>
          <w:lang w:bidi="ar-DZ"/>
        </w:rPr>
      </w:pPr>
    </w:p>
    <w:sectPr w:rsidR="00E219EB" w:rsidRPr="00E219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186ED" w14:textId="77777777" w:rsidR="005A400C" w:rsidRDefault="005A400C" w:rsidP="00E219EB">
      <w:pPr>
        <w:spacing w:after="0" w:line="240" w:lineRule="auto"/>
      </w:pPr>
      <w:r>
        <w:separator/>
      </w:r>
    </w:p>
  </w:endnote>
  <w:endnote w:type="continuationSeparator" w:id="0">
    <w:p w14:paraId="2DB58031" w14:textId="77777777" w:rsidR="005A400C" w:rsidRDefault="005A400C" w:rsidP="00E21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3E321" w14:textId="77777777" w:rsidR="005A400C" w:rsidRDefault="005A400C" w:rsidP="00E219EB">
      <w:pPr>
        <w:spacing w:after="0" w:line="240" w:lineRule="auto"/>
      </w:pPr>
      <w:r>
        <w:separator/>
      </w:r>
    </w:p>
  </w:footnote>
  <w:footnote w:type="continuationSeparator" w:id="0">
    <w:p w14:paraId="5A746848" w14:textId="77777777" w:rsidR="005A400C" w:rsidRDefault="005A400C" w:rsidP="00E21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776CC"/>
    <w:multiLevelType w:val="hybridMultilevel"/>
    <w:tmpl w:val="3550A45A"/>
    <w:lvl w:ilvl="0" w:tplc="2E8031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242105"/>
    <w:multiLevelType w:val="multilevel"/>
    <w:tmpl w:val="FD8E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0478916">
    <w:abstractNumId w:val="0"/>
  </w:num>
  <w:num w:numId="2" w16cid:durableId="678968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83"/>
    <w:rsid w:val="00121783"/>
    <w:rsid w:val="001F0648"/>
    <w:rsid w:val="003548D8"/>
    <w:rsid w:val="005A400C"/>
    <w:rsid w:val="00843EAA"/>
    <w:rsid w:val="00E219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3E8F"/>
  <w15:chartTrackingRefBased/>
  <w15:docId w15:val="{F84A4D91-E368-4C7D-B285-F8B23CC5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1783"/>
    <w:pPr>
      <w:ind w:left="720"/>
      <w:contextualSpacing/>
    </w:pPr>
  </w:style>
  <w:style w:type="paragraph" w:styleId="Notedebasdepage">
    <w:name w:val="footnote text"/>
    <w:basedOn w:val="Normal"/>
    <w:link w:val="NotedebasdepageCar"/>
    <w:uiPriority w:val="99"/>
    <w:unhideWhenUsed/>
    <w:rsid w:val="00E219EB"/>
    <w:pPr>
      <w:spacing w:after="0" w:line="240" w:lineRule="auto"/>
    </w:pPr>
    <w:rPr>
      <w:kern w:val="0"/>
      <w:sz w:val="20"/>
      <w:szCs w:val="20"/>
      <w14:ligatures w14:val="none"/>
    </w:rPr>
  </w:style>
  <w:style w:type="character" w:customStyle="1" w:styleId="NotedebasdepageCar">
    <w:name w:val="Note de bas de page Car"/>
    <w:basedOn w:val="Policepardfaut"/>
    <w:link w:val="Notedebasdepage"/>
    <w:uiPriority w:val="99"/>
    <w:rsid w:val="00E219EB"/>
    <w:rPr>
      <w:kern w:val="0"/>
      <w:sz w:val="20"/>
      <w:szCs w:val="20"/>
      <w14:ligatures w14:val="none"/>
    </w:rPr>
  </w:style>
  <w:style w:type="character" w:styleId="Appelnotedebasdep">
    <w:name w:val="footnote reference"/>
    <w:basedOn w:val="Policepardfaut"/>
    <w:uiPriority w:val="99"/>
    <w:unhideWhenUsed/>
    <w:rsid w:val="00E219EB"/>
    <w:rPr>
      <w:vertAlign w:val="superscript"/>
    </w:rPr>
  </w:style>
  <w:style w:type="character" w:styleId="Lienhypertexte">
    <w:name w:val="Hyperlink"/>
    <w:basedOn w:val="Policepardfaut"/>
    <w:uiPriority w:val="99"/>
    <w:unhideWhenUsed/>
    <w:rsid w:val="00E219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434</Words>
  <Characters>2391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ATMANI</dc:creator>
  <cp:keywords/>
  <dc:description/>
  <cp:lastModifiedBy>Bilal ATMANI</cp:lastModifiedBy>
  <cp:revision>1</cp:revision>
  <dcterms:created xsi:type="dcterms:W3CDTF">2024-10-24T08:22:00Z</dcterms:created>
  <dcterms:modified xsi:type="dcterms:W3CDTF">2024-10-24T11:34:00Z</dcterms:modified>
</cp:coreProperties>
</file>