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43A" w:rsidRDefault="0083543A" w:rsidP="0083543A">
      <w:pPr>
        <w:spacing w:line="240" w:lineRule="auto"/>
        <w:jc w:val="center"/>
        <w:rPr>
          <w:rFonts w:ascii="Times New Roman" w:hAnsi="Times New Roman" w:cs="Times New Roman"/>
          <w:b/>
          <w:bCs/>
          <w:sz w:val="20"/>
          <w:szCs w:val="20"/>
          <w:u w:val="single"/>
        </w:rPr>
      </w:pPr>
    </w:p>
    <w:p w:rsidR="0020764A" w:rsidRPr="00E13ECD" w:rsidRDefault="00C626DE" w:rsidP="0083543A">
      <w:pPr>
        <w:spacing w:line="240" w:lineRule="auto"/>
        <w:jc w:val="center"/>
        <w:rPr>
          <w:rFonts w:ascii="Times New Roman" w:hAnsi="Times New Roman" w:cs="Times New Roman"/>
          <w:b/>
          <w:bCs/>
          <w:sz w:val="20"/>
          <w:szCs w:val="20"/>
          <w:u w:val="single"/>
        </w:rPr>
      </w:pPr>
      <w:r w:rsidRPr="00E13ECD">
        <w:rPr>
          <w:rFonts w:ascii="Times New Roman" w:hAnsi="Times New Roman" w:cs="Times New Roman"/>
          <w:b/>
          <w:bCs/>
          <w:sz w:val="20"/>
          <w:szCs w:val="20"/>
          <w:u w:val="single"/>
        </w:rPr>
        <w:t>Série N° 03</w:t>
      </w:r>
    </w:p>
    <w:p w:rsidR="00054725" w:rsidRDefault="00054725" w:rsidP="00E05797">
      <w:pPr>
        <w:spacing w:line="240" w:lineRule="auto"/>
        <w:jc w:val="both"/>
        <w:rPr>
          <w:rFonts w:ascii="Times New Roman" w:hAnsi="Times New Roman" w:cs="Times New Roman"/>
          <w:b/>
          <w:bCs/>
          <w:sz w:val="20"/>
          <w:szCs w:val="20"/>
          <w:u w:val="single"/>
        </w:rPr>
      </w:pPr>
    </w:p>
    <w:p w:rsidR="00634A07" w:rsidRPr="00E13ECD" w:rsidRDefault="00FA65C0" w:rsidP="00E05797">
      <w:pPr>
        <w:spacing w:line="240" w:lineRule="auto"/>
        <w:jc w:val="both"/>
        <w:rPr>
          <w:rFonts w:ascii="Times New Roman" w:hAnsi="Times New Roman" w:cs="Times New Roman"/>
          <w:b/>
          <w:bCs/>
          <w:sz w:val="20"/>
          <w:szCs w:val="20"/>
          <w:u w:val="single"/>
        </w:rPr>
      </w:pPr>
      <w:r w:rsidRPr="00E13ECD">
        <w:rPr>
          <w:rFonts w:ascii="Times New Roman" w:hAnsi="Times New Roman" w:cs="Times New Roman"/>
          <w:b/>
          <w:bCs/>
          <w:sz w:val="20"/>
          <w:szCs w:val="20"/>
          <w:u w:val="single"/>
        </w:rPr>
        <w:t>Exercice N°01 :</w:t>
      </w:r>
    </w:p>
    <w:p w:rsidR="00634A07" w:rsidRPr="00E13ECD" w:rsidRDefault="00DB7699" w:rsidP="00E05797">
      <w:pPr>
        <w:spacing w:line="240" w:lineRule="auto"/>
        <w:jc w:val="both"/>
        <w:rPr>
          <w:rFonts w:ascii="Times New Roman" w:hAnsi="Times New Roman" w:cs="Times New Roman"/>
          <w:sz w:val="20"/>
          <w:szCs w:val="20"/>
        </w:rPr>
      </w:pPr>
      <w:r w:rsidRPr="00E13ECD">
        <w:rPr>
          <w:rFonts w:ascii="Times New Roman" w:hAnsi="Times New Roman" w:cs="Times New Roman"/>
          <w:sz w:val="20"/>
          <w:szCs w:val="20"/>
        </w:rPr>
        <w:t>L’entreprise ABC export, basée en France, export des produits électriques vers les Etats-Unis et le CANADA. Les montants des ventes prévues pour les trois prochains mois sont les suivants :</w:t>
      </w:r>
    </w:p>
    <w:p w:rsidR="00DB7699" w:rsidRPr="00E13ECD" w:rsidRDefault="00DB7699" w:rsidP="00E05797">
      <w:pPr>
        <w:pStyle w:val="Paragraphedeliste"/>
        <w:numPr>
          <w:ilvl w:val="0"/>
          <w:numId w:val="13"/>
        </w:numPr>
        <w:spacing w:line="240" w:lineRule="auto"/>
        <w:jc w:val="both"/>
        <w:rPr>
          <w:rFonts w:ascii="Times New Roman" w:hAnsi="Times New Roman" w:cs="Times New Roman"/>
          <w:b/>
          <w:bCs/>
          <w:sz w:val="20"/>
          <w:szCs w:val="20"/>
          <w:u w:val="single"/>
        </w:rPr>
      </w:pPr>
      <w:r w:rsidRPr="00E13ECD">
        <w:rPr>
          <w:rFonts w:ascii="Times New Roman" w:hAnsi="Times New Roman" w:cs="Times New Roman"/>
          <w:bCs/>
          <w:sz w:val="20"/>
          <w:szCs w:val="20"/>
        </w:rPr>
        <w:t>600 000 USD pour les Etats-Unis</w:t>
      </w:r>
    </w:p>
    <w:p w:rsidR="00DB7699" w:rsidRPr="00E13ECD" w:rsidRDefault="00DB7699" w:rsidP="00E05797">
      <w:pPr>
        <w:pStyle w:val="Paragraphedeliste"/>
        <w:numPr>
          <w:ilvl w:val="0"/>
          <w:numId w:val="13"/>
        </w:numPr>
        <w:spacing w:line="240" w:lineRule="auto"/>
        <w:jc w:val="both"/>
        <w:rPr>
          <w:rFonts w:ascii="Times New Roman" w:hAnsi="Times New Roman" w:cs="Times New Roman"/>
          <w:b/>
          <w:bCs/>
          <w:sz w:val="20"/>
          <w:szCs w:val="20"/>
          <w:u w:val="single"/>
        </w:rPr>
      </w:pPr>
      <w:r w:rsidRPr="00E13ECD">
        <w:rPr>
          <w:rFonts w:ascii="Times New Roman" w:hAnsi="Times New Roman" w:cs="Times New Roman"/>
          <w:bCs/>
          <w:sz w:val="20"/>
          <w:szCs w:val="20"/>
        </w:rPr>
        <w:t>500 000 CAD pour le CANADA.</w:t>
      </w:r>
    </w:p>
    <w:p w:rsidR="00DB7699" w:rsidRPr="00E13ECD" w:rsidRDefault="00DB7699" w:rsidP="00E05797">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Les taux de</w:t>
      </w:r>
      <w:r w:rsidR="00D16D1B" w:rsidRPr="00E13ECD">
        <w:rPr>
          <w:rFonts w:ascii="Times New Roman" w:hAnsi="Times New Roman" w:cs="Times New Roman"/>
          <w:bCs/>
          <w:sz w:val="20"/>
          <w:szCs w:val="20"/>
        </w:rPr>
        <w:t>s</w:t>
      </w:r>
      <w:r w:rsidRPr="00E13ECD">
        <w:rPr>
          <w:rFonts w:ascii="Times New Roman" w:hAnsi="Times New Roman" w:cs="Times New Roman"/>
          <w:bCs/>
          <w:sz w:val="20"/>
          <w:szCs w:val="20"/>
        </w:rPr>
        <w:t xml:space="preserve"> changes actuels sont : 1USD = 0,9503 EUR et 1CAD = 0,6771 EUR.</w:t>
      </w:r>
    </w:p>
    <w:p w:rsidR="00DB7699" w:rsidRPr="00E13ECD" w:rsidRDefault="00DB7699" w:rsidP="00E05797">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 xml:space="preserve">L’entreprise craint les taux de changes </w:t>
      </w:r>
      <w:r w:rsidR="00E05797" w:rsidRPr="00E13ECD">
        <w:rPr>
          <w:rFonts w:ascii="Times New Roman" w:hAnsi="Times New Roman" w:cs="Times New Roman"/>
          <w:bCs/>
          <w:sz w:val="20"/>
          <w:szCs w:val="20"/>
        </w:rPr>
        <w:t>fluctuent</w:t>
      </w:r>
      <w:r w:rsidRPr="00E13ECD">
        <w:rPr>
          <w:rFonts w:ascii="Times New Roman" w:hAnsi="Times New Roman" w:cs="Times New Roman"/>
          <w:bCs/>
          <w:sz w:val="20"/>
          <w:szCs w:val="20"/>
        </w:rPr>
        <w:t xml:space="preserve"> défavorablement et déc</w:t>
      </w:r>
      <w:r w:rsidR="00D16D1B" w:rsidRPr="00E13ECD">
        <w:rPr>
          <w:rFonts w:ascii="Times New Roman" w:hAnsi="Times New Roman" w:cs="Times New Roman"/>
          <w:bCs/>
          <w:sz w:val="20"/>
          <w:szCs w:val="20"/>
        </w:rPr>
        <w:t>ide de souscrire une Assurance C</w:t>
      </w:r>
      <w:r w:rsidRPr="00E13ECD">
        <w:rPr>
          <w:rFonts w:ascii="Times New Roman" w:hAnsi="Times New Roman" w:cs="Times New Roman"/>
          <w:bCs/>
          <w:sz w:val="20"/>
          <w:szCs w:val="20"/>
        </w:rPr>
        <w:t xml:space="preserve">hange auprès la COFACE pour </w:t>
      </w:r>
      <w:r w:rsidR="00E05797" w:rsidRPr="00E13ECD">
        <w:rPr>
          <w:rFonts w:ascii="Times New Roman" w:hAnsi="Times New Roman" w:cs="Times New Roman"/>
          <w:bCs/>
          <w:sz w:val="20"/>
          <w:szCs w:val="20"/>
        </w:rPr>
        <w:t>couvrir</w:t>
      </w:r>
      <w:r w:rsidRPr="00E13ECD">
        <w:rPr>
          <w:rFonts w:ascii="Times New Roman" w:hAnsi="Times New Roman" w:cs="Times New Roman"/>
          <w:bCs/>
          <w:sz w:val="20"/>
          <w:szCs w:val="20"/>
        </w:rPr>
        <w:t xml:space="preserve"> le risque de change. L’</w:t>
      </w:r>
      <w:r w:rsidR="00E05797" w:rsidRPr="00E13ECD">
        <w:rPr>
          <w:rFonts w:ascii="Times New Roman" w:hAnsi="Times New Roman" w:cs="Times New Roman"/>
          <w:bCs/>
          <w:sz w:val="20"/>
          <w:szCs w:val="20"/>
        </w:rPr>
        <w:t>assurance proposée par l</w:t>
      </w:r>
      <w:r w:rsidRPr="00E13ECD">
        <w:rPr>
          <w:rFonts w:ascii="Times New Roman" w:hAnsi="Times New Roman" w:cs="Times New Roman"/>
          <w:bCs/>
          <w:sz w:val="20"/>
          <w:szCs w:val="20"/>
        </w:rPr>
        <w:t>a COFACE garantit les taux de</w:t>
      </w:r>
      <w:r w:rsidR="000B1BD8" w:rsidRPr="00E13ECD">
        <w:rPr>
          <w:rFonts w:ascii="Times New Roman" w:hAnsi="Times New Roman" w:cs="Times New Roman"/>
          <w:bCs/>
          <w:sz w:val="20"/>
          <w:szCs w:val="20"/>
        </w:rPr>
        <w:t xml:space="preserve"> changes suivants pour les trois</w:t>
      </w:r>
      <w:r w:rsidRPr="00E13ECD">
        <w:rPr>
          <w:rFonts w:ascii="Times New Roman" w:hAnsi="Times New Roman" w:cs="Times New Roman"/>
          <w:bCs/>
          <w:sz w:val="20"/>
          <w:szCs w:val="20"/>
        </w:rPr>
        <w:t xml:space="preserve"> prochains moins</w:t>
      </w:r>
      <w:r w:rsidR="00E05797" w:rsidRPr="00E13ECD">
        <w:rPr>
          <w:rFonts w:ascii="Times New Roman" w:hAnsi="Times New Roman" w:cs="Times New Roman"/>
          <w:bCs/>
          <w:sz w:val="20"/>
          <w:szCs w:val="20"/>
        </w:rPr>
        <w:t> :</w:t>
      </w:r>
    </w:p>
    <w:p w:rsidR="00E05797" w:rsidRPr="00E13ECD" w:rsidRDefault="00E05797" w:rsidP="00E05797">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1USD = 0,9510 EUR et 1CAD = 0,6780 EUR.</w:t>
      </w:r>
    </w:p>
    <w:p w:rsidR="00E05797" w:rsidRPr="00E13ECD" w:rsidRDefault="00E05797" w:rsidP="00E05797">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Les données de l’assurance COFACE sont les suivantes :</w:t>
      </w:r>
    </w:p>
    <w:p w:rsidR="00E05797" w:rsidRPr="00E13ECD" w:rsidRDefault="000B1BD8" w:rsidP="00E05797">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Le coût de l’assurance change est de 0,</w:t>
      </w:r>
      <w:r w:rsidR="00EA3470">
        <w:rPr>
          <w:rFonts w:ascii="Times New Roman" w:hAnsi="Times New Roman" w:cs="Times New Roman"/>
          <w:bCs/>
          <w:sz w:val="20"/>
          <w:szCs w:val="20"/>
        </w:rPr>
        <w:t>0</w:t>
      </w:r>
      <w:r w:rsidRPr="00E13ECD">
        <w:rPr>
          <w:rFonts w:ascii="Times New Roman" w:hAnsi="Times New Roman" w:cs="Times New Roman"/>
          <w:bCs/>
          <w:sz w:val="20"/>
          <w:szCs w:val="20"/>
        </w:rPr>
        <w:t>5%  du montant des ventes couvert en devises étrangères et payable dès la signature du contrat.</w:t>
      </w:r>
    </w:p>
    <w:p w:rsidR="000B1BD8" w:rsidRPr="00E13ECD" w:rsidRDefault="000B1BD8" w:rsidP="00E05797">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Les frais fixes liés à l’assurance : 1000 EUR.</w:t>
      </w:r>
    </w:p>
    <w:p w:rsidR="000B1BD8" w:rsidRPr="00E13ECD" w:rsidRDefault="000B1BD8" w:rsidP="00E05797">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La COFACE couvre la totalité du montant des ventes.</w:t>
      </w:r>
    </w:p>
    <w:p w:rsidR="000B1BD8" w:rsidRPr="00E13ECD" w:rsidRDefault="000B1BD8" w:rsidP="00E05797">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Les taux de changes réels après 3 mois : 1USD = 0,9488 EUR et 1CAD = 0,6765 EUR.</w:t>
      </w:r>
    </w:p>
    <w:p w:rsidR="000B1BD8" w:rsidRPr="00E13ECD" w:rsidRDefault="000B1BD8" w:rsidP="000B1BD8">
      <w:pPr>
        <w:spacing w:line="240" w:lineRule="auto"/>
        <w:jc w:val="both"/>
        <w:rPr>
          <w:rFonts w:ascii="Times New Roman" w:hAnsi="Times New Roman" w:cs="Times New Roman"/>
          <w:b/>
          <w:bCs/>
          <w:sz w:val="20"/>
          <w:szCs w:val="20"/>
        </w:rPr>
      </w:pPr>
      <w:r w:rsidRPr="00E13ECD">
        <w:rPr>
          <w:rFonts w:ascii="Times New Roman" w:hAnsi="Times New Roman" w:cs="Times New Roman"/>
          <w:b/>
          <w:bCs/>
          <w:sz w:val="20"/>
          <w:szCs w:val="20"/>
        </w:rPr>
        <w:t>Questions :</w:t>
      </w:r>
    </w:p>
    <w:p w:rsidR="000B1BD8" w:rsidRPr="00E13ECD" w:rsidRDefault="000B1BD8" w:rsidP="000B1BD8">
      <w:pPr>
        <w:pStyle w:val="Paragraphedeliste"/>
        <w:numPr>
          <w:ilvl w:val="0"/>
          <w:numId w:val="14"/>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Calculez le montant total en EUR que l’</w:t>
      </w:r>
      <w:r w:rsidR="00D16D1B" w:rsidRPr="00E13ECD">
        <w:rPr>
          <w:rFonts w:ascii="Times New Roman" w:hAnsi="Times New Roman" w:cs="Times New Roman"/>
          <w:bCs/>
          <w:sz w:val="20"/>
          <w:szCs w:val="20"/>
        </w:rPr>
        <w:t>entreprise recevra dans 3</w:t>
      </w:r>
      <w:r w:rsidRPr="00E13ECD">
        <w:rPr>
          <w:rFonts w:ascii="Times New Roman" w:hAnsi="Times New Roman" w:cs="Times New Roman"/>
          <w:bCs/>
          <w:sz w:val="20"/>
          <w:szCs w:val="20"/>
        </w:rPr>
        <w:t xml:space="preserve"> mois si elle ne souscrit pas à l’assurance change et quelle est l’impact due à la dépréciation du taux de change ?</w:t>
      </w:r>
    </w:p>
    <w:p w:rsidR="000B1BD8" w:rsidRPr="00E13ECD" w:rsidRDefault="00D16D1B" w:rsidP="000B1BD8">
      <w:pPr>
        <w:pStyle w:val="Paragraphedeliste"/>
        <w:numPr>
          <w:ilvl w:val="0"/>
          <w:numId w:val="14"/>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Calculez le montant total en EUR que l’entreprise recevra dans 3 mois avec couverture.</w:t>
      </w:r>
    </w:p>
    <w:p w:rsidR="00D16D1B" w:rsidRPr="00E13ECD" w:rsidRDefault="00D16D1B" w:rsidP="000B1BD8">
      <w:pPr>
        <w:pStyle w:val="Paragraphedeliste"/>
        <w:numPr>
          <w:ilvl w:val="0"/>
          <w:numId w:val="14"/>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Calculez le coût total de la souscription en EUR.</w:t>
      </w:r>
    </w:p>
    <w:p w:rsidR="00D16D1B" w:rsidRPr="00E13ECD" w:rsidRDefault="00D16D1B" w:rsidP="000B1BD8">
      <w:pPr>
        <w:pStyle w:val="Paragraphedeliste"/>
        <w:numPr>
          <w:ilvl w:val="0"/>
          <w:numId w:val="14"/>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 xml:space="preserve">Calculez le montant en EUR que l’entreprise recevra avec couverture en tenant compte du coût de l’assurance et analyser les effets de la couverture. </w:t>
      </w:r>
    </w:p>
    <w:p w:rsidR="007F3B68" w:rsidRPr="00E13ECD" w:rsidRDefault="007F3B68" w:rsidP="00E05797">
      <w:pPr>
        <w:spacing w:line="240" w:lineRule="auto"/>
        <w:jc w:val="both"/>
        <w:rPr>
          <w:rFonts w:ascii="Times New Roman" w:hAnsi="Times New Roman" w:cs="Times New Roman"/>
          <w:b/>
          <w:bCs/>
          <w:sz w:val="20"/>
          <w:szCs w:val="20"/>
          <w:u w:val="single"/>
        </w:rPr>
      </w:pPr>
    </w:p>
    <w:p w:rsidR="00634A07" w:rsidRPr="00E13ECD" w:rsidRDefault="00B60743" w:rsidP="00E05797">
      <w:pPr>
        <w:spacing w:line="240" w:lineRule="auto"/>
        <w:jc w:val="both"/>
        <w:rPr>
          <w:rFonts w:ascii="Times New Roman" w:hAnsi="Times New Roman" w:cs="Times New Roman"/>
          <w:b/>
          <w:bCs/>
          <w:sz w:val="20"/>
          <w:szCs w:val="20"/>
          <w:u w:val="single"/>
        </w:rPr>
      </w:pPr>
      <w:r w:rsidRPr="00E13ECD">
        <w:rPr>
          <w:rFonts w:ascii="Times New Roman" w:hAnsi="Times New Roman" w:cs="Times New Roman"/>
          <w:b/>
          <w:bCs/>
          <w:sz w:val="20"/>
          <w:szCs w:val="20"/>
          <w:u w:val="single"/>
        </w:rPr>
        <w:t>Exercice N° 02 :</w:t>
      </w:r>
    </w:p>
    <w:p w:rsidR="00D16D1B" w:rsidRPr="00E13ECD" w:rsidRDefault="00D16D1B" w:rsidP="00E05797">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Une entreprise exportatrice réalise un chiffre d’affaire annuel de 900 000 EUR</w:t>
      </w:r>
      <w:r w:rsidR="004047AE" w:rsidRPr="00E13ECD">
        <w:rPr>
          <w:rFonts w:ascii="Times New Roman" w:hAnsi="Times New Roman" w:cs="Times New Roman"/>
          <w:bCs/>
          <w:sz w:val="20"/>
          <w:szCs w:val="20"/>
        </w:rPr>
        <w:t>, le coût direct de production représente 60% du CA. Cependant, le client étranger n’a pas honoré le paiement d’une facture de 50 000 EUR. L’entreprise souhaite évaluer l’impact de cet impayé sur son taux de marge brute et analyser les mesures pour compenser cette perte.</w:t>
      </w:r>
    </w:p>
    <w:p w:rsidR="004047AE" w:rsidRPr="00E13ECD" w:rsidRDefault="004047AE" w:rsidP="00E05797">
      <w:pPr>
        <w:spacing w:line="240" w:lineRule="auto"/>
        <w:jc w:val="both"/>
        <w:rPr>
          <w:rFonts w:ascii="Times New Roman" w:hAnsi="Times New Roman" w:cs="Times New Roman"/>
          <w:b/>
          <w:bCs/>
          <w:sz w:val="20"/>
          <w:szCs w:val="20"/>
        </w:rPr>
      </w:pPr>
      <w:r w:rsidRPr="00E13ECD">
        <w:rPr>
          <w:rFonts w:ascii="Times New Roman" w:hAnsi="Times New Roman" w:cs="Times New Roman"/>
          <w:b/>
          <w:bCs/>
          <w:sz w:val="20"/>
          <w:szCs w:val="20"/>
        </w:rPr>
        <w:t>Questions :</w:t>
      </w:r>
    </w:p>
    <w:p w:rsidR="004047AE" w:rsidRPr="00E13ECD" w:rsidRDefault="004047AE" w:rsidP="004047AE">
      <w:pPr>
        <w:pStyle w:val="Paragraphedeliste"/>
        <w:numPr>
          <w:ilvl w:val="0"/>
          <w:numId w:val="15"/>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Calculez le taux de marge brut avant impayé et déduire le bénéfice brut.</w:t>
      </w:r>
    </w:p>
    <w:p w:rsidR="004047AE" w:rsidRPr="00E13ECD" w:rsidRDefault="004047AE" w:rsidP="004047AE">
      <w:pPr>
        <w:pStyle w:val="Paragraphedeliste"/>
        <w:numPr>
          <w:ilvl w:val="0"/>
          <w:numId w:val="15"/>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Calculez le taux de marge brut après la prise en compte de l’impayé et déduire le bénéfice net.</w:t>
      </w:r>
    </w:p>
    <w:p w:rsidR="004047AE" w:rsidRPr="00E13ECD" w:rsidRDefault="004047AE" w:rsidP="004047AE">
      <w:pPr>
        <w:pStyle w:val="Paragraphedeliste"/>
        <w:numPr>
          <w:ilvl w:val="0"/>
          <w:numId w:val="15"/>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 xml:space="preserve">Déterminer l’effort de vente nécessaire pour compenser cette perte </w:t>
      </w:r>
      <w:r w:rsidR="00B03F1A" w:rsidRPr="00E13ECD">
        <w:rPr>
          <w:rFonts w:ascii="Times New Roman" w:hAnsi="Times New Roman" w:cs="Times New Roman"/>
          <w:bCs/>
          <w:sz w:val="20"/>
          <w:szCs w:val="20"/>
        </w:rPr>
        <w:t>et le nouveau CA.</w:t>
      </w:r>
    </w:p>
    <w:p w:rsidR="007F3B68" w:rsidRPr="00E13ECD" w:rsidRDefault="007F3B68" w:rsidP="00B03F1A">
      <w:pPr>
        <w:spacing w:line="240" w:lineRule="auto"/>
        <w:jc w:val="both"/>
        <w:rPr>
          <w:rFonts w:ascii="Times New Roman" w:hAnsi="Times New Roman" w:cs="Times New Roman"/>
          <w:b/>
          <w:bCs/>
          <w:sz w:val="20"/>
          <w:szCs w:val="20"/>
          <w:u w:val="single"/>
        </w:rPr>
      </w:pPr>
    </w:p>
    <w:p w:rsidR="0083543A" w:rsidRDefault="0083543A" w:rsidP="00B03F1A">
      <w:pPr>
        <w:spacing w:line="240" w:lineRule="auto"/>
        <w:jc w:val="both"/>
        <w:rPr>
          <w:rFonts w:ascii="Times New Roman" w:hAnsi="Times New Roman" w:cs="Times New Roman"/>
          <w:b/>
          <w:bCs/>
          <w:sz w:val="20"/>
          <w:szCs w:val="20"/>
          <w:u w:val="single"/>
        </w:rPr>
      </w:pPr>
    </w:p>
    <w:p w:rsidR="0083543A" w:rsidRDefault="0083543A" w:rsidP="00B03F1A">
      <w:pPr>
        <w:spacing w:line="240" w:lineRule="auto"/>
        <w:jc w:val="both"/>
        <w:rPr>
          <w:rFonts w:ascii="Times New Roman" w:hAnsi="Times New Roman" w:cs="Times New Roman"/>
          <w:b/>
          <w:bCs/>
          <w:sz w:val="20"/>
          <w:szCs w:val="20"/>
          <w:u w:val="single"/>
        </w:rPr>
      </w:pPr>
    </w:p>
    <w:p w:rsidR="00B03F1A" w:rsidRPr="00E13ECD" w:rsidRDefault="00B03F1A" w:rsidP="00B03F1A">
      <w:pPr>
        <w:spacing w:line="240" w:lineRule="auto"/>
        <w:jc w:val="both"/>
        <w:rPr>
          <w:rFonts w:ascii="Times New Roman" w:hAnsi="Times New Roman" w:cs="Times New Roman"/>
          <w:b/>
          <w:bCs/>
          <w:sz w:val="20"/>
          <w:szCs w:val="20"/>
          <w:u w:val="single"/>
        </w:rPr>
      </w:pPr>
      <w:r w:rsidRPr="00E13ECD">
        <w:rPr>
          <w:rFonts w:ascii="Times New Roman" w:hAnsi="Times New Roman" w:cs="Times New Roman"/>
          <w:b/>
          <w:bCs/>
          <w:sz w:val="20"/>
          <w:szCs w:val="20"/>
          <w:u w:val="single"/>
        </w:rPr>
        <w:lastRenderedPageBreak/>
        <w:t>Exercice N° 03 :</w:t>
      </w:r>
    </w:p>
    <w:p w:rsidR="00B03F1A" w:rsidRPr="00E13ECD" w:rsidRDefault="00B03F1A" w:rsidP="00B03F1A">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Une entreprise exportatrice réalise une vente de 5 000 000 EUR à un client étranger. Elle anticipe un risque de non-paiement représentant 10% du CA. Pour se protéger, elle envisage différentes possibilités de protection contre le risque de non-paiement :</w:t>
      </w:r>
    </w:p>
    <w:p w:rsidR="00B03F1A" w:rsidRPr="00E13ECD" w:rsidRDefault="00B03F1A" w:rsidP="00B03F1A">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Dans la 1</w:t>
      </w:r>
      <w:r w:rsidRPr="00E13ECD">
        <w:rPr>
          <w:rFonts w:ascii="Times New Roman" w:hAnsi="Times New Roman" w:cs="Times New Roman"/>
          <w:bCs/>
          <w:sz w:val="20"/>
          <w:szCs w:val="20"/>
          <w:vertAlign w:val="superscript"/>
        </w:rPr>
        <w:t>ère</w:t>
      </w:r>
      <w:r w:rsidRPr="00E13ECD">
        <w:rPr>
          <w:rFonts w:ascii="Times New Roman" w:hAnsi="Times New Roman" w:cs="Times New Roman"/>
          <w:bCs/>
          <w:sz w:val="20"/>
          <w:szCs w:val="20"/>
        </w:rPr>
        <w:t xml:space="preserve"> hypothèse, l’ent</w:t>
      </w:r>
      <w:r w:rsidR="00B91236" w:rsidRPr="00E13ECD">
        <w:rPr>
          <w:rFonts w:ascii="Times New Roman" w:hAnsi="Times New Roman" w:cs="Times New Roman"/>
          <w:bCs/>
          <w:sz w:val="20"/>
          <w:szCs w:val="20"/>
        </w:rPr>
        <w:t>reprise souscrit une assurance-</w:t>
      </w:r>
      <w:r w:rsidRPr="00E13ECD">
        <w:rPr>
          <w:rFonts w:ascii="Times New Roman" w:hAnsi="Times New Roman" w:cs="Times New Roman"/>
          <w:bCs/>
          <w:sz w:val="20"/>
          <w:szCs w:val="20"/>
        </w:rPr>
        <w:t>crédit couvrant 85% du montant impayé</w:t>
      </w:r>
      <w:r w:rsidR="00B91236" w:rsidRPr="00E13ECD">
        <w:rPr>
          <w:rFonts w:ascii="Times New Roman" w:hAnsi="Times New Roman" w:cs="Times New Roman"/>
          <w:bCs/>
          <w:sz w:val="20"/>
          <w:szCs w:val="20"/>
        </w:rPr>
        <w:t>s</w:t>
      </w:r>
      <w:r w:rsidRPr="00E13ECD">
        <w:rPr>
          <w:rFonts w:ascii="Times New Roman" w:hAnsi="Times New Roman" w:cs="Times New Roman"/>
          <w:bCs/>
          <w:sz w:val="20"/>
          <w:szCs w:val="20"/>
        </w:rPr>
        <w:t xml:space="preserve"> estimé</w:t>
      </w:r>
      <w:r w:rsidR="00B91236" w:rsidRPr="00E13ECD">
        <w:rPr>
          <w:rFonts w:ascii="Times New Roman" w:hAnsi="Times New Roman" w:cs="Times New Roman"/>
          <w:bCs/>
          <w:sz w:val="20"/>
          <w:szCs w:val="20"/>
        </w:rPr>
        <w:t>s. Les données du contrat assurance-crédit incluent :</w:t>
      </w:r>
    </w:p>
    <w:p w:rsidR="00B91236" w:rsidRPr="00054725" w:rsidRDefault="00B91236" w:rsidP="00054725">
      <w:pPr>
        <w:spacing w:line="240" w:lineRule="auto"/>
        <w:jc w:val="both"/>
        <w:rPr>
          <w:rFonts w:ascii="Times New Roman" w:hAnsi="Times New Roman" w:cs="Times New Roman"/>
          <w:bCs/>
          <w:sz w:val="20"/>
          <w:szCs w:val="20"/>
        </w:rPr>
      </w:pPr>
      <w:r w:rsidRPr="00054725">
        <w:rPr>
          <w:rFonts w:ascii="Times New Roman" w:hAnsi="Times New Roman" w:cs="Times New Roman"/>
          <w:bCs/>
          <w:sz w:val="20"/>
          <w:szCs w:val="20"/>
        </w:rPr>
        <w:t>Prime d’assurance-crédit =1,5 % du montant couvert.</w:t>
      </w:r>
      <w:r w:rsidR="00054725" w:rsidRPr="00054725">
        <w:rPr>
          <w:rFonts w:ascii="Times New Roman" w:hAnsi="Times New Roman" w:cs="Times New Roman"/>
          <w:bCs/>
          <w:sz w:val="20"/>
          <w:szCs w:val="20"/>
        </w:rPr>
        <w:t xml:space="preserve"> </w:t>
      </w:r>
      <w:r w:rsidR="00054725">
        <w:rPr>
          <w:rFonts w:ascii="Times New Roman" w:hAnsi="Times New Roman" w:cs="Times New Roman"/>
          <w:bCs/>
          <w:sz w:val="20"/>
          <w:szCs w:val="20"/>
        </w:rPr>
        <w:t xml:space="preserve">    </w:t>
      </w:r>
      <w:r w:rsidRPr="00054725">
        <w:rPr>
          <w:rFonts w:ascii="Times New Roman" w:hAnsi="Times New Roman" w:cs="Times New Roman"/>
          <w:bCs/>
          <w:sz w:val="20"/>
          <w:szCs w:val="20"/>
        </w:rPr>
        <w:t>Frais fixes pour la souscription du contrat = 5</w:t>
      </w:r>
      <w:r w:rsidR="00555A50" w:rsidRPr="00054725">
        <w:rPr>
          <w:rFonts w:ascii="Times New Roman" w:hAnsi="Times New Roman" w:cs="Times New Roman"/>
          <w:bCs/>
          <w:sz w:val="20"/>
          <w:szCs w:val="20"/>
        </w:rPr>
        <w:t> </w:t>
      </w:r>
      <w:r w:rsidRPr="00054725">
        <w:rPr>
          <w:rFonts w:ascii="Times New Roman" w:hAnsi="Times New Roman" w:cs="Times New Roman"/>
          <w:bCs/>
          <w:sz w:val="20"/>
          <w:szCs w:val="20"/>
        </w:rPr>
        <w:t>000</w:t>
      </w:r>
      <w:r w:rsidR="00555A50" w:rsidRPr="00054725">
        <w:rPr>
          <w:rFonts w:ascii="Times New Roman" w:hAnsi="Times New Roman" w:cs="Times New Roman"/>
          <w:bCs/>
          <w:sz w:val="20"/>
          <w:szCs w:val="20"/>
        </w:rPr>
        <w:t xml:space="preserve"> </w:t>
      </w:r>
      <w:r w:rsidRPr="00054725">
        <w:rPr>
          <w:rFonts w:ascii="Times New Roman" w:hAnsi="Times New Roman" w:cs="Times New Roman"/>
          <w:bCs/>
          <w:sz w:val="20"/>
          <w:szCs w:val="20"/>
        </w:rPr>
        <w:t xml:space="preserve">EUR. </w:t>
      </w:r>
    </w:p>
    <w:p w:rsidR="00C30A9F" w:rsidRPr="00E13ECD" w:rsidRDefault="00C30A9F" w:rsidP="00C30A9F">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Dans la 2</w:t>
      </w:r>
      <w:r w:rsidRPr="00E13ECD">
        <w:rPr>
          <w:rFonts w:ascii="Times New Roman" w:hAnsi="Times New Roman" w:cs="Times New Roman"/>
          <w:bCs/>
          <w:sz w:val="20"/>
          <w:szCs w:val="20"/>
          <w:vertAlign w:val="superscript"/>
        </w:rPr>
        <w:t>ème</w:t>
      </w:r>
      <w:r w:rsidRPr="00E13ECD">
        <w:rPr>
          <w:rFonts w:ascii="Times New Roman" w:hAnsi="Times New Roman" w:cs="Times New Roman"/>
          <w:bCs/>
          <w:sz w:val="20"/>
          <w:szCs w:val="20"/>
        </w:rPr>
        <w:t xml:space="preserve"> hypothèse, l’entreprise décide de recourir un crédit documentaire irrévocable émis par une banque. Le coût de crédit documentaire : 1,5 % de la valeur de la transaction. La banque garantit le paiement totale à condition que l’exportateur respecte les termes du contrat (documents conformes, délais de paiement, …ETC.).</w:t>
      </w:r>
    </w:p>
    <w:p w:rsidR="00C30A9F" w:rsidRPr="00E13ECD" w:rsidRDefault="00C30A9F" w:rsidP="00C30A9F">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Dans la 3</w:t>
      </w:r>
      <w:r w:rsidRPr="00E13ECD">
        <w:rPr>
          <w:rFonts w:ascii="Times New Roman" w:hAnsi="Times New Roman" w:cs="Times New Roman"/>
          <w:bCs/>
          <w:sz w:val="20"/>
          <w:szCs w:val="20"/>
          <w:vertAlign w:val="superscript"/>
        </w:rPr>
        <w:t>ème</w:t>
      </w:r>
      <w:r w:rsidRPr="00E13ECD">
        <w:rPr>
          <w:rFonts w:ascii="Times New Roman" w:hAnsi="Times New Roman" w:cs="Times New Roman"/>
          <w:bCs/>
          <w:sz w:val="20"/>
          <w:szCs w:val="20"/>
        </w:rPr>
        <w:t xml:space="preserve"> hypothèse, si l’entreprise devait subir un impayé sans garantie Assurance-crédit et bancaire, elle devait compenser la perte en générant un CA supplémentaire avec un taux de marge brute de 25%.</w:t>
      </w:r>
    </w:p>
    <w:p w:rsidR="00C30A9F" w:rsidRPr="00E13ECD" w:rsidRDefault="00C30A9F" w:rsidP="00C30A9F">
      <w:pPr>
        <w:spacing w:line="240" w:lineRule="auto"/>
        <w:jc w:val="both"/>
        <w:rPr>
          <w:rFonts w:ascii="Times New Roman" w:hAnsi="Times New Roman" w:cs="Times New Roman"/>
          <w:b/>
          <w:bCs/>
          <w:sz w:val="20"/>
          <w:szCs w:val="20"/>
        </w:rPr>
      </w:pPr>
      <w:r w:rsidRPr="00E13ECD">
        <w:rPr>
          <w:rFonts w:ascii="Times New Roman" w:hAnsi="Times New Roman" w:cs="Times New Roman"/>
          <w:b/>
          <w:bCs/>
          <w:sz w:val="20"/>
          <w:szCs w:val="20"/>
        </w:rPr>
        <w:t>Questions :</w:t>
      </w:r>
    </w:p>
    <w:p w:rsidR="00C30A9F" w:rsidRPr="00E13ECD" w:rsidRDefault="00C30A9F" w:rsidP="00C30A9F">
      <w:pPr>
        <w:pStyle w:val="Paragraphedeliste"/>
        <w:numPr>
          <w:ilvl w:val="0"/>
          <w:numId w:val="16"/>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 xml:space="preserve">Calculez </w:t>
      </w:r>
      <w:r w:rsidR="007F3B68" w:rsidRPr="00E13ECD">
        <w:rPr>
          <w:rFonts w:ascii="Times New Roman" w:hAnsi="Times New Roman" w:cs="Times New Roman"/>
          <w:bCs/>
          <w:sz w:val="20"/>
          <w:szCs w:val="20"/>
        </w:rPr>
        <w:t>le mon</w:t>
      </w:r>
      <w:r w:rsidRPr="00E13ECD">
        <w:rPr>
          <w:rFonts w:ascii="Times New Roman" w:hAnsi="Times New Roman" w:cs="Times New Roman"/>
          <w:bCs/>
          <w:sz w:val="20"/>
          <w:szCs w:val="20"/>
        </w:rPr>
        <w:t>t</w:t>
      </w:r>
      <w:r w:rsidR="007F3B68" w:rsidRPr="00E13ECD">
        <w:rPr>
          <w:rFonts w:ascii="Times New Roman" w:hAnsi="Times New Roman" w:cs="Times New Roman"/>
          <w:bCs/>
          <w:sz w:val="20"/>
          <w:szCs w:val="20"/>
        </w:rPr>
        <w:t>a</w:t>
      </w:r>
      <w:r w:rsidRPr="00E13ECD">
        <w:rPr>
          <w:rFonts w:ascii="Times New Roman" w:hAnsi="Times New Roman" w:cs="Times New Roman"/>
          <w:bCs/>
          <w:sz w:val="20"/>
          <w:szCs w:val="20"/>
        </w:rPr>
        <w:t>nt des créances risqué</w:t>
      </w:r>
      <w:r w:rsidR="007F3B68" w:rsidRPr="00E13ECD">
        <w:rPr>
          <w:rFonts w:ascii="Times New Roman" w:hAnsi="Times New Roman" w:cs="Times New Roman"/>
          <w:bCs/>
          <w:sz w:val="20"/>
          <w:szCs w:val="20"/>
        </w:rPr>
        <w:t>e</w:t>
      </w:r>
      <w:r w:rsidRPr="00E13ECD">
        <w:rPr>
          <w:rFonts w:ascii="Times New Roman" w:hAnsi="Times New Roman" w:cs="Times New Roman"/>
          <w:bCs/>
          <w:sz w:val="20"/>
          <w:szCs w:val="20"/>
        </w:rPr>
        <w:t xml:space="preserve">s en fonction </w:t>
      </w:r>
      <w:r w:rsidR="007F3B68" w:rsidRPr="00E13ECD">
        <w:rPr>
          <w:rFonts w:ascii="Times New Roman" w:hAnsi="Times New Roman" w:cs="Times New Roman"/>
          <w:bCs/>
          <w:sz w:val="20"/>
          <w:szCs w:val="20"/>
        </w:rPr>
        <w:t>du taux d’impayés.</w:t>
      </w:r>
    </w:p>
    <w:p w:rsidR="007F3B68" w:rsidRPr="00E13ECD" w:rsidRDefault="007F3B68" w:rsidP="00C30A9F">
      <w:pPr>
        <w:pStyle w:val="Paragraphedeliste"/>
        <w:numPr>
          <w:ilvl w:val="0"/>
          <w:numId w:val="16"/>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Déterminez le montant couvert par l’assurance et le montant de la franchise.</w:t>
      </w:r>
    </w:p>
    <w:p w:rsidR="007F3B68" w:rsidRPr="00E13ECD" w:rsidRDefault="007F3B68" w:rsidP="00C30A9F">
      <w:pPr>
        <w:pStyle w:val="Paragraphedeliste"/>
        <w:numPr>
          <w:ilvl w:val="0"/>
          <w:numId w:val="16"/>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Calculez la prime de l’assurance-crédit à payer et le coût total de la gestion du risque.</w:t>
      </w:r>
    </w:p>
    <w:p w:rsidR="007F3B68" w:rsidRPr="00E13ECD" w:rsidRDefault="007F3B68" w:rsidP="00C30A9F">
      <w:pPr>
        <w:pStyle w:val="Paragraphedeliste"/>
        <w:numPr>
          <w:ilvl w:val="0"/>
          <w:numId w:val="16"/>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Estimez le montant indemnisé par l’assurance en cas d’impayé et la perte nette de l’exportateur.</w:t>
      </w:r>
    </w:p>
    <w:p w:rsidR="007F3B68" w:rsidRPr="00E13ECD" w:rsidRDefault="007F3B68" w:rsidP="00C30A9F">
      <w:pPr>
        <w:pStyle w:val="Paragraphedeliste"/>
        <w:numPr>
          <w:ilvl w:val="0"/>
          <w:numId w:val="16"/>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Calculer le coût du crédit documentaire pour l’exportateur et le montant de l’assurance offerte par le crédit documentaire.</w:t>
      </w:r>
    </w:p>
    <w:p w:rsidR="007F3B68" w:rsidRPr="00E13ECD" w:rsidRDefault="007F3B68" w:rsidP="00C30A9F">
      <w:pPr>
        <w:pStyle w:val="Paragraphedeliste"/>
        <w:numPr>
          <w:ilvl w:val="0"/>
          <w:numId w:val="16"/>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Si le client ne paie pas, quel serait le CA supplémentaire nécessaire pour compenser la perte ?</w:t>
      </w:r>
    </w:p>
    <w:p w:rsidR="00054725" w:rsidRPr="00054725" w:rsidRDefault="007F3B68" w:rsidP="00054725">
      <w:pPr>
        <w:pStyle w:val="Paragraphedeliste"/>
        <w:numPr>
          <w:ilvl w:val="0"/>
          <w:numId w:val="16"/>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Quels sont les avantages et les inconvénients associés à chacune de ces hypothèses et analyses les impacts financiers de chaque méthode</w:t>
      </w:r>
      <w:r w:rsidR="0065450F">
        <w:rPr>
          <w:rFonts w:ascii="Times New Roman" w:hAnsi="Times New Roman" w:cs="Times New Roman"/>
          <w:bCs/>
          <w:sz w:val="20"/>
          <w:szCs w:val="20"/>
        </w:rPr>
        <w:t xml:space="preserve"> (avant et après couverture)</w:t>
      </w:r>
      <w:r w:rsidRPr="00E13ECD">
        <w:rPr>
          <w:rFonts w:ascii="Times New Roman" w:hAnsi="Times New Roman" w:cs="Times New Roman"/>
          <w:bCs/>
          <w:sz w:val="20"/>
          <w:szCs w:val="20"/>
        </w:rPr>
        <w:t>.</w:t>
      </w:r>
    </w:p>
    <w:p w:rsidR="007F3B68" w:rsidRPr="00E13ECD" w:rsidRDefault="007F3B68" w:rsidP="00054725">
      <w:pPr>
        <w:spacing w:line="240" w:lineRule="auto"/>
        <w:jc w:val="both"/>
        <w:rPr>
          <w:rFonts w:ascii="Times New Roman" w:hAnsi="Times New Roman" w:cs="Times New Roman"/>
          <w:b/>
          <w:bCs/>
          <w:sz w:val="20"/>
          <w:szCs w:val="20"/>
          <w:u w:val="single"/>
        </w:rPr>
      </w:pPr>
      <w:r w:rsidRPr="00E13ECD">
        <w:rPr>
          <w:rFonts w:ascii="Times New Roman" w:hAnsi="Times New Roman" w:cs="Times New Roman"/>
          <w:b/>
          <w:bCs/>
          <w:sz w:val="20"/>
          <w:szCs w:val="20"/>
          <w:u w:val="single"/>
        </w:rPr>
        <w:t>Exercice N° 04 :</w:t>
      </w:r>
    </w:p>
    <w:p w:rsidR="00555A50" w:rsidRPr="00E13ECD" w:rsidRDefault="00555A50" w:rsidP="00555A50">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Une entreprise exportatrice vend des marchandises à un client étranger pour un montant de 300 000 EUR. Elle souhaite de gérer, à la fois, le risque de non-paiement</w:t>
      </w:r>
      <w:r w:rsidR="002C53DB" w:rsidRPr="00E13ECD">
        <w:rPr>
          <w:rFonts w:ascii="Times New Roman" w:hAnsi="Times New Roman" w:cs="Times New Roman"/>
          <w:bCs/>
          <w:sz w:val="20"/>
          <w:szCs w:val="20"/>
        </w:rPr>
        <w:t xml:space="preserve"> et un problème de financement en utilisant un contrat d’affacturage intégral incluant :</w:t>
      </w:r>
      <w:r w:rsidRPr="00E13ECD">
        <w:rPr>
          <w:rFonts w:ascii="Times New Roman" w:hAnsi="Times New Roman" w:cs="Times New Roman"/>
          <w:bCs/>
          <w:sz w:val="20"/>
          <w:szCs w:val="20"/>
        </w:rPr>
        <w:t xml:space="preserve"> </w:t>
      </w:r>
    </w:p>
    <w:p w:rsidR="002C53DB" w:rsidRPr="00E13ECD" w:rsidRDefault="002C53DB" w:rsidP="002C53DB">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Un contrat d’assurance-crédit pour couvrir le risque de non-paiement.</w:t>
      </w:r>
    </w:p>
    <w:p w:rsidR="002C53DB" w:rsidRPr="00E13ECD" w:rsidRDefault="002C53DB" w:rsidP="002C53DB">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Le préfinancement pour améliorer la trésorerie.</w:t>
      </w:r>
    </w:p>
    <w:p w:rsidR="002C53DB" w:rsidRPr="00E13ECD" w:rsidRDefault="002C53DB" w:rsidP="002C53DB">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La gestion des créances par le Factor.</w:t>
      </w:r>
    </w:p>
    <w:p w:rsidR="00555A50" w:rsidRPr="00E13ECD" w:rsidRDefault="00555A50" w:rsidP="00555A50">
      <w:p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 xml:space="preserve">Les </w:t>
      </w:r>
      <w:r w:rsidR="002C53DB" w:rsidRPr="00E13ECD">
        <w:rPr>
          <w:rFonts w:ascii="Times New Roman" w:hAnsi="Times New Roman" w:cs="Times New Roman"/>
          <w:bCs/>
          <w:sz w:val="20"/>
          <w:szCs w:val="20"/>
        </w:rPr>
        <w:t xml:space="preserve">données du contrat d’affacturage </w:t>
      </w:r>
      <w:r w:rsidRPr="00E13ECD">
        <w:rPr>
          <w:rFonts w:ascii="Times New Roman" w:hAnsi="Times New Roman" w:cs="Times New Roman"/>
          <w:bCs/>
          <w:sz w:val="20"/>
          <w:szCs w:val="20"/>
        </w:rPr>
        <w:t>incluent :</w:t>
      </w:r>
    </w:p>
    <w:p w:rsidR="002C53DB" w:rsidRPr="00E13ECD" w:rsidRDefault="002C53DB" w:rsidP="00555A50">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Le taux de couverture de l’assurance-crédit : 90% du montant de la créance</w:t>
      </w:r>
    </w:p>
    <w:p w:rsidR="00555A50" w:rsidRPr="00E13ECD" w:rsidRDefault="00555A50" w:rsidP="00555A50">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Prime d’assura</w:t>
      </w:r>
      <w:r w:rsidR="002C53DB" w:rsidRPr="00E13ECD">
        <w:rPr>
          <w:rFonts w:ascii="Times New Roman" w:hAnsi="Times New Roman" w:cs="Times New Roman"/>
          <w:bCs/>
          <w:sz w:val="20"/>
          <w:szCs w:val="20"/>
        </w:rPr>
        <w:t>nce-crédit = 2</w:t>
      </w:r>
      <w:r w:rsidRPr="00E13ECD">
        <w:rPr>
          <w:rFonts w:ascii="Times New Roman" w:hAnsi="Times New Roman" w:cs="Times New Roman"/>
          <w:bCs/>
          <w:sz w:val="20"/>
          <w:szCs w:val="20"/>
        </w:rPr>
        <w:t xml:space="preserve"> % du montant couvert.</w:t>
      </w:r>
    </w:p>
    <w:p w:rsidR="00555A50" w:rsidRPr="00E13ECD" w:rsidRDefault="00555A50" w:rsidP="00555A50">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Frais fixes pour la souscription du contr</w:t>
      </w:r>
      <w:r w:rsidR="002C53DB" w:rsidRPr="00E13ECD">
        <w:rPr>
          <w:rFonts w:ascii="Times New Roman" w:hAnsi="Times New Roman" w:cs="Times New Roman"/>
          <w:bCs/>
          <w:sz w:val="20"/>
          <w:szCs w:val="20"/>
        </w:rPr>
        <w:t>at d’assurance- crédit = 2</w:t>
      </w:r>
      <w:r w:rsidRPr="00E13ECD">
        <w:rPr>
          <w:rFonts w:ascii="Times New Roman" w:hAnsi="Times New Roman" w:cs="Times New Roman"/>
          <w:bCs/>
          <w:sz w:val="20"/>
          <w:szCs w:val="20"/>
        </w:rPr>
        <w:t xml:space="preserve"> 000 EUR. </w:t>
      </w:r>
    </w:p>
    <w:p w:rsidR="002C53DB" w:rsidRPr="00E13ECD" w:rsidRDefault="002C53DB" w:rsidP="00555A50">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Avance proposée par le Factor : 80% du montant total des créances.</w:t>
      </w:r>
    </w:p>
    <w:p w:rsidR="002C53DB" w:rsidRPr="00E13ECD" w:rsidRDefault="002C53DB" w:rsidP="00555A50">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Taux de la commission d’affacturage : 1,5 % du montant des créances.</w:t>
      </w:r>
    </w:p>
    <w:p w:rsidR="002C53DB" w:rsidRPr="00E13ECD" w:rsidRDefault="002C53DB" w:rsidP="00555A50">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Taux d’intérêt annuel appliqué par le factor : 5%.</w:t>
      </w:r>
    </w:p>
    <w:p w:rsidR="007F3B68" w:rsidRPr="00054725" w:rsidRDefault="002C53DB" w:rsidP="00054725">
      <w:pPr>
        <w:pStyle w:val="Paragraphedeliste"/>
        <w:numPr>
          <w:ilvl w:val="0"/>
          <w:numId w:val="13"/>
        </w:numPr>
        <w:spacing w:line="240" w:lineRule="auto"/>
        <w:jc w:val="both"/>
        <w:rPr>
          <w:rFonts w:ascii="Times New Roman" w:hAnsi="Times New Roman" w:cs="Times New Roman"/>
          <w:bCs/>
          <w:sz w:val="20"/>
          <w:szCs w:val="20"/>
        </w:rPr>
      </w:pPr>
      <w:r w:rsidRPr="00E13ECD">
        <w:rPr>
          <w:rFonts w:ascii="Times New Roman" w:hAnsi="Times New Roman" w:cs="Times New Roman"/>
          <w:bCs/>
          <w:sz w:val="20"/>
          <w:szCs w:val="20"/>
        </w:rPr>
        <w:t>Délai de paiement des créances : 120 jours.</w:t>
      </w:r>
      <w:r w:rsidR="00054725">
        <w:rPr>
          <w:rFonts w:ascii="Times New Roman" w:hAnsi="Times New Roman" w:cs="Times New Roman"/>
          <w:bCs/>
          <w:sz w:val="20"/>
          <w:szCs w:val="20"/>
        </w:rPr>
        <w:t xml:space="preserve"> </w:t>
      </w:r>
      <w:bookmarkStart w:id="0" w:name="_GoBack"/>
      <w:bookmarkEnd w:id="0"/>
    </w:p>
    <w:p w:rsidR="00E13ECD" w:rsidRDefault="00E13ECD" w:rsidP="00E13ECD">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Questions :</w:t>
      </w:r>
    </w:p>
    <w:p w:rsidR="00E13ECD" w:rsidRDefault="00E13ECD" w:rsidP="00E13ECD">
      <w:pPr>
        <w:pStyle w:val="Paragraphedeliste"/>
        <w:numPr>
          <w:ilvl w:val="0"/>
          <w:numId w:val="1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Quel est le montant couvert par l’assurance-crédit et le montant de la franchise ?</w:t>
      </w:r>
    </w:p>
    <w:p w:rsidR="00E13ECD" w:rsidRDefault="00E13ECD" w:rsidP="00E13ECD">
      <w:pPr>
        <w:pStyle w:val="Paragraphedeliste"/>
        <w:numPr>
          <w:ilvl w:val="0"/>
          <w:numId w:val="1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Quel est le coût total de l’assurance-crédit et le montant qui sera indemnisé en cas de non-paiement ?</w:t>
      </w:r>
    </w:p>
    <w:p w:rsidR="00E13ECD" w:rsidRDefault="00E13ECD" w:rsidP="00E13ECD">
      <w:pPr>
        <w:pStyle w:val="Paragraphedeliste"/>
        <w:numPr>
          <w:ilvl w:val="0"/>
          <w:numId w:val="1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Quel est le montant avancé par le factor et le montant de la commission d’affacturage ?</w:t>
      </w:r>
    </w:p>
    <w:p w:rsidR="00EA3470" w:rsidRDefault="00E13ECD" w:rsidP="00EA3470">
      <w:pPr>
        <w:pStyle w:val="Paragraphedeliste"/>
        <w:numPr>
          <w:ilvl w:val="0"/>
          <w:numId w:val="1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Déterminez le coût  du financement</w:t>
      </w:r>
      <w:r w:rsidR="00EA3470">
        <w:rPr>
          <w:rFonts w:ascii="Times New Roman" w:hAnsi="Times New Roman" w:cs="Times New Roman"/>
          <w:bCs/>
          <w:sz w:val="20"/>
          <w:szCs w:val="20"/>
        </w:rPr>
        <w:t xml:space="preserve"> pour la période de 120 jours,</w:t>
      </w:r>
      <w:r>
        <w:rPr>
          <w:rFonts w:ascii="Times New Roman" w:hAnsi="Times New Roman" w:cs="Times New Roman"/>
          <w:bCs/>
          <w:sz w:val="20"/>
          <w:szCs w:val="20"/>
        </w:rPr>
        <w:t xml:space="preserve"> le co</w:t>
      </w:r>
      <w:r w:rsidR="0065450F">
        <w:rPr>
          <w:rFonts w:ascii="Times New Roman" w:hAnsi="Times New Roman" w:cs="Times New Roman"/>
          <w:bCs/>
          <w:sz w:val="20"/>
          <w:szCs w:val="20"/>
        </w:rPr>
        <w:t>ût tot</w:t>
      </w:r>
      <w:r>
        <w:rPr>
          <w:rFonts w:ascii="Times New Roman" w:hAnsi="Times New Roman" w:cs="Times New Roman"/>
          <w:bCs/>
          <w:sz w:val="20"/>
          <w:szCs w:val="20"/>
        </w:rPr>
        <w:t>al de</w:t>
      </w:r>
      <w:r w:rsidR="0065450F">
        <w:rPr>
          <w:rFonts w:ascii="Times New Roman" w:hAnsi="Times New Roman" w:cs="Times New Roman"/>
          <w:bCs/>
          <w:sz w:val="20"/>
          <w:szCs w:val="20"/>
        </w:rPr>
        <w:t xml:space="preserve"> l’avance</w:t>
      </w:r>
      <w:r w:rsidR="00EA3470">
        <w:rPr>
          <w:rFonts w:ascii="Times New Roman" w:hAnsi="Times New Roman" w:cs="Times New Roman"/>
          <w:bCs/>
          <w:sz w:val="20"/>
          <w:szCs w:val="20"/>
        </w:rPr>
        <w:t xml:space="preserve"> et le coût total de la gestion du risque et de la trésorerie</w:t>
      </w:r>
      <w:r w:rsidR="0065450F">
        <w:rPr>
          <w:rFonts w:ascii="Times New Roman" w:hAnsi="Times New Roman" w:cs="Times New Roman"/>
          <w:bCs/>
          <w:sz w:val="20"/>
          <w:szCs w:val="20"/>
        </w:rPr>
        <w:t>.</w:t>
      </w:r>
    </w:p>
    <w:p w:rsidR="007956B4" w:rsidRPr="00EA3470" w:rsidRDefault="007956B4" w:rsidP="00EA3470">
      <w:pPr>
        <w:pStyle w:val="Paragraphedeliste"/>
        <w:numPr>
          <w:ilvl w:val="0"/>
          <w:numId w:val="1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Calculez le montant à payer au Factor à la fin du contrat.</w:t>
      </w:r>
    </w:p>
    <w:p w:rsidR="0065450F" w:rsidRPr="0065450F" w:rsidRDefault="0065450F" w:rsidP="0065450F">
      <w:pPr>
        <w:pStyle w:val="Paragraphedeliste"/>
        <w:numPr>
          <w:ilvl w:val="0"/>
          <w:numId w:val="1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Quels sont les avantages et les inconvénients de l’affacturage ? Analyser les effets de la couverture.</w:t>
      </w:r>
    </w:p>
    <w:sectPr w:rsidR="0065450F" w:rsidRPr="0065450F" w:rsidSect="002076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BE" w:rsidRDefault="005D5CBE" w:rsidP="00FA65C0">
      <w:pPr>
        <w:spacing w:after="0" w:line="240" w:lineRule="auto"/>
      </w:pPr>
      <w:r>
        <w:separator/>
      </w:r>
    </w:p>
  </w:endnote>
  <w:endnote w:type="continuationSeparator" w:id="0">
    <w:p w:rsidR="005D5CBE" w:rsidRDefault="005D5CBE" w:rsidP="00FA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4860"/>
      <w:docPartObj>
        <w:docPartGallery w:val="Page Numbers (Bottom of Page)"/>
        <w:docPartUnique/>
      </w:docPartObj>
    </w:sdtPr>
    <w:sdtEndPr/>
    <w:sdtContent>
      <w:p w:rsidR="00E05889" w:rsidRDefault="00E34850">
        <w:pPr>
          <w:pStyle w:val="Pieddepage"/>
        </w:pPr>
        <w:r>
          <w:rPr>
            <w:noProof/>
            <w:lang w:eastAsia="fr-FR"/>
          </w:rPr>
          <mc:AlternateContent>
            <mc:Choice Requires="wps">
              <w:drawing>
                <wp:anchor distT="0" distB="0" distL="114300" distR="114300" simplePos="0" relativeHeight="251660288" behindDoc="0" locked="0" layoutInCell="0" allowOverlap="1" wp14:anchorId="14E2F9E2" wp14:editId="62991303">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634A07" w:rsidRDefault="000F1EA9">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sidR="007956B4">
                                <w:rPr>
                                  <w:noProof/>
                                  <w:sz w:val="16"/>
                                  <w:szCs w:val="16"/>
                                </w:rPr>
                                <w:t>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634A07" w:rsidRDefault="000F1EA9">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sidR="007956B4">
                          <w:rPr>
                            <w:noProof/>
                            <w:sz w:val="16"/>
                            <w:szCs w:val="16"/>
                          </w:rPr>
                          <w:t>2</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BE" w:rsidRDefault="005D5CBE" w:rsidP="00FA65C0">
      <w:pPr>
        <w:spacing w:after="0" w:line="240" w:lineRule="auto"/>
      </w:pPr>
      <w:r>
        <w:separator/>
      </w:r>
    </w:p>
  </w:footnote>
  <w:footnote w:type="continuationSeparator" w:id="0">
    <w:p w:rsidR="005D5CBE" w:rsidRDefault="005D5CBE" w:rsidP="00FA6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20"/>
        <w:szCs w:val="20"/>
      </w:rPr>
      <w:alias w:val="Titre"/>
      <w:id w:val="77887899"/>
      <w:placeholder>
        <w:docPart w:val="DC4C92AA059E44DF8692E85F853578FC"/>
      </w:placeholder>
      <w:dataBinding w:prefixMappings="xmlns:ns0='http://schemas.openxmlformats.org/package/2006/metadata/core-properties' xmlns:ns1='http://purl.org/dc/elements/1.1/'" w:xpath="/ns0:coreProperties[1]/ns1:title[1]" w:storeItemID="{6C3C8BC8-F283-45AE-878A-BAB7291924A1}"/>
      <w:text/>
    </w:sdtPr>
    <w:sdtEndPr/>
    <w:sdtContent>
      <w:p w:rsidR="00E05889" w:rsidRDefault="008A6A5B" w:rsidP="008514C0">
        <w:pPr>
          <w:pStyle w:val="En-tte"/>
          <w:tabs>
            <w:tab w:val="left" w:pos="2580"/>
            <w:tab w:val="left" w:pos="2985"/>
          </w:tabs>
          <w:spacing w:after="120"/>
          <w:jc w:val="right"/>
          <w:rPr>
            <w:b/>
            <w:bCs/>
            <w:color w:val="1F497D" w:themeColor="text2"/>
            <w:sz w:val="28"/>
            <w:szCs w:val="28"/>
          </w:rPr>
        </w:pPr>
        <w:r>
          <w:rPr>
            <w:b/>
            <w:bCs/>
            <w:color w:val="1F497D" w:themeColor="text2"/>
            <w:sz w:val="20"/>
            <w:szCs w:val="20"/>
          </w:rPr>
          <w:t>Département des sciences commerciales</w:t>
        </w:r>
      </w:p>
    </w:sdtContent>
  </w:sdt>
  <w:sdt>
    <w:sdtPr>
      <w:rPr>
        <w:b/>
        <w:bCs/>
        <w:color w:val="4F81BD" w:themeColor="accent1"/>
      </w:rPr>
      <w:alias w:val="Sous-titre"/>
      <w:id w:val="77887903"/>
      <w:placeholder>
        <w:docPart w:val="78049D91961240E09C496B852C242CE9"/>
      </w:placeholder>
      <w:dataBinding w:prefixMappings="xmlns:ns0='http://schemas.openxmlformats.org/package/2006/metadata/core-properties' xmlns:ns1='http://purl.org/dc/elements/1.1/'" w:xpath="/ns0:coreProperties[1]/ns1:subject[1]" w:storeItemID="{6C3C8BC8-F283-45AE-878A-BAB7291924A1}"/>
      <w:text/>
    </w:sdtPr>
    <w:sdtEndPr/>
    <w:sdtContent>
      <w:p w:rsidR="00E05889" w:rsidRDefault="00E05889" w:rsidP="008514C0">
        <w:pPr>
          <w:pStyle w:val="En-tte"/>
          <w:tabs>
            <w:tab w:val="left" w:pos="2580"/>
            <w:tab w:val="left" w:pos="2985"/>
          </w:tabs>
          <w:spacing w:after="120"/>
          <w:jc w:val="right"/>
          <w:rPr>
            <w:color w:val="4F81BD" w:themeColor="accent1"/>
          </w:rPr>
        </w:pPr>
        <w:r>
          <w:rPr>
            <w:b/>
            <w:bCs/>
            <w:color w:val="4F81BD" w:themeColor="accent1"/>
          </w:rPr>
          <w:t>Master I Finance et Commerce International</w:t>
        </w:r>
      </w:p>
    </w:sdtContent>
  </w:sdt>
  <w:sdt>
    <w:sdtPr>
      <w:rPr>
        <w:b/>
        <w:bCs/>
        <w:color w:val="808080" w:themeColor="text1" w:themeTint="7F"/>
      </w:rPr>
      <w:alias w:val="Auteur"/>
      <w:id w:val="77887908"/>
      <w:placeholder>
        <w:docPart w:val="37A1382E263346AE80777A582221EB04"/>
      </w:placeholder>
      <w:dataBinding w:prefixMappings="xmlns:ns0='http://schemas.openxmlformats.org/package/2006/metadata/core-properties' xmlns:ns1='http://purl.org/dc/elements/1.1/'" w:xpath="/ns0:coreProperties[1]/ns1:creator[1]" w:storeItemID="{6C3C8BC8-F283-45AE-878A-BAB7291924A1}"/>
      <w:text/>
    </w:sdtPr>
    <w:sdtEndPr/>
    <w:sdtContent>
      <w:p w:rsidR="00E05889" w:rsidRDefault="00DB7699" w:rsidP="008514C0">
        <w:pPr>
          <w:pStyle w:val="En-tte"/>
          <w:pBdr>
            <w:bottom w:val="single" w:sz="4" w:space="0" w:color="A5A5A5" w:themeColor="background1" w:themeShade="A5"/>
          </w:pBdr>
          <w:tabs>
            <w:tab w:val="left" w:pos="2580"/>
            <w:tab w:val="left" w:pos="2985"/>
          </w:tabs>
          <w:spacing w:after="120"/>
          <w:jc w:val="right"/>
          <w:rPr>
            <w:color w:val="808080" w:themeColor="text1" w:themeTint="7F"/>
          </w:rPr>
        </w:pPr>
        <w:r>
          <w:rPr>
            <w:b/>
            <w:bCs/>
            <w:color w:val="808080" w:themeColor="text1" w:themeTint="7F"/>
          </w:rPr>
          <w:t>Module : Financement du commerce international</w:t>
        </w:r>
      </w:p>
    </w:sdtContent>
  </w:sdt>
  <w:p w:rsidR="00E05889" w:rsidRDefault="00E0588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7317B"/>
    <w:multiLevelType w:val="hybridMultilevel"/>
    <w:tmpl w:val="E9CA6B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044155"/>
    <w:multiLevelType w:val="hybridMultilevel"/>
    <w:tmpl w:val="E73EFA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511426"/>
    <w:multiLevelType w:val="hybridMultilevel"/>
    <w:tmpl w:val="5A18C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2167AE"/>
    <w:multiLevelType w:val="hybridMultilevel"/>
    <w:tmpl w:val="ACC48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7E33DB"/>
    <w:multiLevelType w:val="hybridMultilevel"/>
    <w:tmpl w:val="658881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13B57F5"/>
    <w:multiLevelType w:val="hybridMultilevel"/>
    <w:tmpl w:val="195A11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8D74DA5"/>
    <w:multiLevelType w:val="hybridMultilevel"/>
    <w:tmpl w:val="3BEC15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1764B9"/>
    <w:multiLevelType w:val="hybridMultilevel"/>
    <w:tmpl w:val="E2D004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28801FA"/>
    <w:multiLevelType w:val="hybridMultilevel"/>
    <w:tmpl w:val="0B7251B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538F57F8"/>
    <w:multiLevelType w:val="hybridMultilevel"/>
    <w:tmpl w:val="FFF06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7FE64B7"/>
    <w:multiLevelType w:val="hybridMultilevel"/>
    <w:tmpl w:val="33C471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3782FDF"/>
    <w:multiLevelType w:val="hybridMultilevel"/>
    <w:tmpl w:val="7B12C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5955082"/>
    <w:multiLevelType w:val="hybridMultilevel"/>
    <w:tmpl w:val="2FFC1D1E"/>
    <w:lvl w:ilvl="0" w:tplc="0B389F50">
      <w:numFmt w:val="bullet"/>
      <w:lvlText w:val="-"/>
      <w:lvlJc w:val="left"/>
      <w:pPr>
        <w:ind w:left="720" w:hanging="360"/>
      </w:pPr>
      <w:rPr>
        <w:rFonts w:ascii="Times New Roman" w:eastAsiaTheme="minorHAnsi"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68E19B8"/>
    <w:multiLevelType w:val="hybridMultilevel"/>
    <w:tmpl w:val="B146784E"/>
    <w:lvl w:ilvl="0" w:tplc="AA422564">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4">
    <w:nsid w:val="69DD13D8"/>
    <w:multiLevelType w:val="hybridMultilevel"/>
    <w:tmpl w:val="67D25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BA4485B"/>
    <w:multiLevelType w:val="hybridMultilevel"/>
    <w:tmpl w:val="25B4EC2A"/>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6">
    <w:nsid w:val="7E1B22FE"/>
    <w:multiLevelType w:val="hybridMultilevel"/>
    <w:tmpl w:val="473C2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9"/>
  </w:num>
  <w:num w:numId="6">
    <w:abstractNumId w:val="0"/>
  </w:num>
  <w:num w:numId="7">
    <w:abstractNumId w:val="1"/>
  </w:num>
  <w:num w:numId="8">
    <w:abstractNumId w:val="2"/>
  </w:num>
  <w:num w:numId="9">
    <w:abstractNumId w:val="11"/>
  </w:num>
  <w:num w:numId="10">
    <w:abstractNumId w:val="16"/>
  </w:num>
  <w:num w:numId="11">
    <w:abstractNumId w:val="13"/>
  </w:num>
  <w:num w:numId="12">
    <w:abstractNumId w:val="15"/>
  </w:num>
  <w:num w:numId="13">
    <w:abstractNumId w:val="12"/>
  </w:num>
  <w:num w:numId="14">
    <w:abstractNumId w:val="7"/>
  </w:num>
  <w:num w:numId="15">
    <w:abstractNumId w:val="10"/>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C0"/>
    <w:rsid w:val="00054725"/>
    <w:rsid w:val="00076C46"/>
    <w:rsid w:val="000B1BD8"/>
    <w:rsid w:val="000F1EA9"/>
    <w:rsid w:val="00156DA5"/>
    <w:rsid w:val="001735B6"/>
    <w:rsid w:val="001A5F33"/>
    <w:rsid w:val="001D152E"/>
    <w:rsid w:val="0020764A"/>
    <w:rsid w:val="00210DBD"/>
    <w:rsid w:val="002C53DB"/>
    <w:rsid w:val="00366028"/>
    <w:rsid w:val="003C1E7E"/>
    <w:rsid w:val="004047AE"/>
    <w:rsid w:val="00435BDF"/>
    <w:rsid w:val="0044711D"/>
    <w:rsid w:val="004663E4"/>
    <w:rsid w:val="005235E2"/>
    <w:rsid w:val="00555A50"/>
    <w:rsid w:val="005B701B"/>
    <w:rsid w:val="005D5CBE"/>
    <w:rsid w:val="00620B69"/>
    <w:rsid w:val="00634A07"/>
    <w:rsid w:val="006542D3"/>
    <w:rsid w:val="0065450F"/>
    <w:rsid w:val="006D6CB7"/>
    <w:rsid w:val="0074188F"/>
    <w:rsid w:val="00775F1A"/>
    <w:rsid w:val="007956B4"/>
    <w:rsid w:val="007F3B68"/>
    <w:rsid w:val="0083543A"/>
    <w:rsid w:val="008514C0"/>
    <w:rsid w:val="008A6A5B"/>
    <w:rsid w:val="008E0348"/>
    <w:rsid w:val="00A065C5"/>
    <w:rsid w:val="00B03F1A"/>
    <w:rsid w:val="00B4462A"/>
    <w:rsid w:val="00B60743"/>
    <w:rsid w:val="00B91236"/>
    <w:rsid w:val="00BB59DF"/>
    <w:rsid w:val="00C30A9F"/>
    <w:rsid w:val="00C626DE"/>
    <w:rsid w:val="00D16D1B"/>
    <w:rsid w:val="00D73E4B"/>
    <w:rsid w:val="00DB7699"/>
    <w:rsid w:val="00DE575A"/>
    <w:rsid w:val="00E05797"/>
    <w:rsid w:val="00E05889"/>
    <w:rsid w:val="00E13ECD"/>
    <w:rsid w:val="00E34850"/>
    <w:rsid w:val="00EA3470"/>
    <w:rsid w:val="00EC302A"/>
    <w:rsid w:val="00EC4399"/>
    <w:rsid w:val="00FA65C0"/>
    <w:rsid w:val="00FA69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6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65C0"/>
    <w:pPr>
      <w:tabs>
        <w:tab w:val="center" w:pos="4536"/>
        <w:tab w:val="right" w:pos="9072"/>
      </w:tabs>
      <w:spacing w:after="0" w:line="240" w:lineRule="auto"/>
    </w:pPr>
  </w:style>
  <w:style w:type="character" w:customStyle="1" w:styleId="En-tteCar">
    <w:name w:val="En-tête Car"/>
    <w:basedOn w:val="Policepardfaut"/>
    <w:link w:val="En-tte"/>
    <w:uiPriority w:val="99"/>
    <w:rsid w:val="00FA65C0"/>
  </w:style>
  <w:style w:type="paragraph" w:styleId="Pieddepage">
    <w:name w:val="footer"/>
    <w:basedOn w:val="Normal"/>
    <w:link w:val="PieddepageCar"/>
    <w:uiPriority w:val="99"/>
    <w:unhideWhenUsed/>
    <w:rsid w:val="00FA65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5C0"/>
  </w:style>
  <w:style w:type="paragraph" w:styleId="Textedebulles">
    <w:name w:val="Balloon Text"/>
    <w:basedOn w:val="Normal"/>
    <w:link w:val="TextedebullesCar"/>
    <w:uiPriority w:val="99"/>
    <w:semiHidden/>
    <w:unhideWhenUsed/>
    <w:rsid w:val="00FA6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5C0"/>
    <w:rPr>
      <w:rFonts w:ascii="Tahoma" w:hAnsi="Tahoma" w:cs="Tahoma"/>
      <w:sz w:val="16"/>
      <w:szCs w:val="16"/>
    </w:rPr>
  </w:style>
  <w:style w:type="table" w:styleId="Grilledutableau">
    <w:name w:val="Table Grid"/>
    <w:basedOn w:val="TableauNormal"/>
    <w:uiPriority w:val="59"/>
    <w:rsid w:val="00FA65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FA65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6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65C0"/>
    <w:pPr>
      <w:tabs>
        <w:tab w:val="center" w:pos="4536"/>
        <w:tab w:val="right" w:pos="9072"/>
      </w:tabs>
      <w:spacing w:after="0" w:line="240" w:lineRule="auto"/>
    </w:pPr>
  </w:style>
  <w:style w:type="character" w:customStyle="1" w:styleId="En-tteCar">
    <w:name w:val="En-tête Car"/>
    <w:basedOn w:val="Policepardfaut"/>
    <w:link w:val="En-tte"/>
    <w:uiPriority w:val="99"/>
    <w:rsid w:val="00FA65C0"/>
  </w:style>
  <w:style w:type="paragraph" w:styleId="Pieddepage">
    <w:name w:val="footer"/>
    <w:basedOn w:val="Normal"/>
    <w:link w:val="PieddepageCar"/>
    <w:uiPriority w:val="99"/>
    <w:unhideWhenUsed/>
    <w:rsid w:val="00FA65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5C0"/>
  </w:style>
  <w:style w:type="paragraph" w:styleId="Textedebulles">
    <w:name w:val="Balloon Text"/>
    <w:basedOn w:val="Normal"/>
    <w:link w:val="TextedebullesCar"/>
    <w:uiPriority w:val="99"/>
    <w:semiHidden/>
    <w:unhideWhenUsed/>
    <w:rsid w:val="00FA6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5C0"/>
    <w:rPr>
      <w:rFonts w:ascii="Tahoma" w:hAnsi="Tahoma" w:cs="Tahoma"/>
      <w:sz w:val="16"/>
      <w:szCs w:val="16"/>
    </w:rPr>
  </w:style>
  <w:style w:type="table" w:styleId="Grilledutableau">
    <w:name w:val="Table Grid"/>
    <w:basedOn w:val="TableauNormal"/>
    <w:uiPriority w:val="59"/>
    <w:rsid w:val="00FA65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FA6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4C92AA059E44DF8692E85F853578FC"/>
        <w:category>
          <w:name w:val="Général"/>
          <w:gallery w:val="placeholder"/>
        </w:category>
        <w:types>
          <w:type w:val="bbPlcHdr"/>
        </w:types>
        <w:behaviors>
          <w:behavior w:val="content"/>
        </w:behaviors>
        <w:guid w:val="{CE860252-FBD2-444A-8CA7-65B55455C148}"/>
      </w:docPartPr>
      <w:docPartBody>
        <w:p w:rsidR="0091293E" w:rsidRDefault="006D45E3" w:rsidP="006D45E3">
          <w:pPr>
            <w:pStyle w:val="DC4C92AA059E44DF8692E85F853578FC"/>
          </w:pPr>
          <w:r>
            <w:rPr>
              <w:b/>
              <w:bCs/>
              <w:color w:val="1F497D" w:themeColor="text2"/>
              <w:sz w:val="28"/>
              <w:szCs w:val="28"/>
            </w:rPr>
            <w:t>[Tapez le titre du document]</w:t>
          </w:r>
        </w:p>
      </w:docPartBody>
    </w:docPart>
    <w:docPart>
      <w:docPartPr>
        <w:name w:val="78049D91961240E09C496B852C242CE9"/>
        <w:category>
          <w:name w:val="Général"/>
          <w:gallery w:val="placeholder"/>
        </w:category>
        <w:types>
          <w:type w:val="bbPlcHdr"/>
        </w:types>
        <w:behaviors>
          <w:behavior w:val="content"/>
        </w:behaviors>
        <w:guid w:val="{C859DEAE-3B43-48BF-9526-10E2330A15D7}"/>
      </w:docPartPr>
      <w:docPartBody>
        <w:p w:rsidR="0091293E" w:rsidRDefault="006D45E3" w:rsidP="006D45E3">
          <w:pPr>
            <w:pStyle w:val="78049D91961240E09C496B852C242CE9"/>
          </w:pPr>
          <w:r>
            <w:rPr>
              <w:color w:val="4F81BD" w:themeColor="accent1"/>
            </w:rPr>
            <w:t>[Tapez le sous-titre du document]</w:t>
          </w:r>
        </w:p>
      </w:docPartBody>
    </w:docPart>
    <w:docPart>
      <w:docPartPr>
        <w:name w:val="37A1382E263346AE80777A582221EB04"/>
        <w:category>
          <w:name w:val="Général"/>
          <w:gallery w:val="placeholder"/>
        </w:category>
        <w:types>
          <w:type w:val="bbPlcHdr"/>
        </w:types>
        <w:behaviors>
          <w:behavior w:val="content"/>
        </w:behaviors>
        <w:guid w:val="{6CAE1600-9A8E-48E7-8DB7-3D2FB0CDA0D4}"/>
      </w:docPartPr>
      <w:docPartBody>
        <w:p w:rsidR="0091293E" w:rsidRDefault="006D45E3" w:rsidP="006D45E3">
          <w:pPr>
            <w:pStyle w:val="37A1382E263346AE80777A582221EB04"/>
          </w:pPr>
          <w:r>
            <w:rPr>
              <w:color w:val="808080" w:themeColor="text1" w:themeTint="7F"/>
            </w:rPr>
            <w:t>[Tapez le 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6D45E3"/>
    <w:rsid w:val="0014417C"/>
    <w:rsid w:val="006D45E3"/>
    <w:rsid w:val="0091293E"/>
    <w:rsid w:val="00B1145A"/>
    <w:rsid w:val="00D051C1"/>
    <w:rsid w:val="00E234D9"/>
    <w:rsid w:val="00E80643"/>
    <w:rsid w:val="00F573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9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4C92AA059E44DF8692E85F853578FC">
    <w:name w:val="DC4C92AA059E44DF8692E85F853578FC"/>
    <w:rsid w:val="006D45E3"/>
  </w:style>
  <w:style w:type="paragraph" w:customStyle="1" w:styleId="78049D91961240E09C496B852C242CE9">
    <w:name w:val="78049D91961240E09C496B852C242CE9"/>
    <w:rsid w:val="006D45E3"/>
  </w:style>
  <w:style w:type="paragraph" w:customStyle="1" w:styleId="37A1382E263346AE80777A582221EB04">
    <w:name w:val="37A1382E263346AE80777A582221EB04"/>
    <w:rsid w:val="006D45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843</Words>
  <Characters>4637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Département des sciences commerciales</vt:lpstr>
    </vt:vector>
  </TitlesOfParts>
  <Company>sie</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Département des sciences commerciales</dc:title>
  <dc:subject>Master I Finance et Commerce International</dc:subject>
  <dc:creator>Module : Financement du commerce international</dc:creator>
  <cp:keywords/>
  <dc:description/>
  <cp:lastModifiedBy>pc</cp:lastModifiedBy>
  <cp:revision>8</cp:revision>
  <dcterms:created xsi:type="dcterms:W3CDTF">2022-01-13T21:16:00Z</dcterms:created>
  <dcterms:modified xsi:type="dcterms:W3CDTF">2024-12-15T18:09:00Z</dcterms:modified>
</cp:coreProperties>
</file>