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E6" w:rsidRDefault="00012EE6" w:rsidP="00012EE6">
      <w:pPr>
        <w:jc w:val="center"/>
        <w:rPr>
          <w:rFonts w:ascii="Times New Roman" w:hAnsi="Times New Roman" w:cs="Times New Roman"/>
          <w:b/>
          <w:sz w:val="28"/>
          <w:szCs w:val="28"/>
          <w:u w:val="single"/>
        </w:rPr>
      </w:pPr>
      <w:r>
        <w:rPr>
          <w:rFonts w:ascii="Times New Roman" w:hAnsi="Times New Roman" w:cs="Times New Roman"/>
          <w:b/>
          <w:sz w:val="28"/>
          <w:szCs w:val="28"/>
          <w:u w:val="single"/>
        </w:rPr>
        <w:t>Glossaire du module de financement du commerce international</w:t>
      </w:r>
    </w:p>
    <w:p w:rsidR="002A4ED0" w:rsidRDefault="002A4ED0" w:rsidP="00012EE6">
      <w:pPr>
        <w:jc w:val="both"/>
        <w:rPr>
          <w:rFonts w:ascii="Times New Roman" w:hAnsi="Times New Roman" w:cs="Times New Roman"/>
          <w:b/>
          <w:sz w:val="24"/>
          <w:szCs w:val="24"/>
        </w:rPr>
      </w:pPr>
    </w:p>
    <w:p w:rsidR="00012EE6" w:rsidRDefault="00012EE6"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Le risque de change :</w:t>
      </w:r>
      <w:r>
        <w:rPr>
          <w:rFonts w:ascii="Times New Roman" w:hAnsi="Times New Roman" w:cs="Times New Roman"/>
          <w:b/>
          <w:sz w:val="24"/>
          <w:szCs w:val="24"/>
        </w:rPr>
        <w:t xml:space="preserve"> </w:t>
      </w:r>
      <w:r>
        <w:rPr>
          <w:rFonts w:ascii="Times New Roman" w:hAnsi="Times New Roman" w:cs="Times New Roman"/>
          <w:sz w:val="24"/>
          <w:szCs w:val="24"/>
        </w:rPr>
        <w:t>Il désigne l’éventualité d’une variation du taux de conversion entre deux devises. C’est le préjudice financier que doit subir une entreprise lorsqu’elle réalise une opération dans une devise étrangère.</w:t>
      </w:r>
    </w:p>
    <w:p w:rsidR="008E1D7E" w:rsidRDefault="008E1D7E"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L’avance en devises :</w:t>
      </w:r>
      <w:r>
        <w:rPr>
          <w:rFonts w:ascii="Times New Roman" w:hAnsi="Times New Roman" w:cs="Times New Roman"/>
          <w:b/>
          <w:sz w:val="24"/>
          <w:szCs w:val="24"/>
        </w:rPr>
        <w:t xml:space="preserve"> </w:t>
      </w:r>
      <w:r>
        <w:rPr>
          <w:rFonts w:ascii="Times New Roman" w:hAnsi="Times New Roman" w:cs="Times New Roman"/>
          <w:sz w:val="24"/>
          <w:szCs w:val="24"/>
        </w:rPr>
        <w:t>C’est technique de financement du commerce international, mais elle offre également aux exportateurs une couverture contre le risque de change.</w:t>
      </w:r>
    </w:p>
    <w:p w:rsidR="008E1D7E" w:rsidRDefault="008E1D7E" w:rsidP="00012EE6">
      <w:pPr>
        <w:jc w:val="both"/>
        <w:rPr>
          <w:rFonts w:ascii="Times New Roman" w:hAnsi="Times New Roman" w:cs="Times New Roman"/>
          <w:sz w:val="24"/>
          <w:szCs w:val="24"/>
        </w:rPr>
      </w:pPr>
      <w:r>
        <w:rPr>
          <w:rFonts w:ascii="Times New Roman" w:hAnsi="Times New Roman" w:cs="Times New Roman"/>
          <w:sz w:val="24"/>
          <w:szCs w:val="24"/>
        </w:rPr>
        <w:t>Pour que l’exportateur soit effectivement couvert contre le risque de change :</w:t>
      </w:r>
    </w:p>
    <w:p w:rsidR="008E1D7E" w:rsidRDefault="008E1D7E" w:rsidP="008E1D7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devise dans laquelle se fait l’avance (</w:t>
      </w:r>
      <w:r>
        <w:rPr>
          <w:rFonts w:ascii="Times New Roman" w:hAnsi="Times New Roman" w:cs="Times New Roman"/>
          <w:b/>
          <w:sz w:val="24"/>
          <w:szCs w:val="24"/>
        </w:rPr>
        <w:t>S</w:t>
      </w:r>
      <w:r>
        <w:rPr>
          <w:rFonts w:ascii="Times New Roman" w:hAnsi="Times New Roman" w:cs="Times New Roman"/>
          <w:sz w:val="24"/>
          <w:szCs w:val="24"/>
        </w:rPr>
        <w:t>) doit être identique à celle dans laquelle est libellée la créance détenue sur l’importateur ;</w:t>
      </w:r>
    </w:p>
    <w:p w:rsidR="008E1D7E" w:rsidRDefault="008E1D7E" w:rsidP="008E1D7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durée de l’emprunt</w:t>
      </w:r>
      <w:r w:rsidR="00296F7E">
        <w:rPr>
          <w:rFonts w:ascii="Times New Roman" w:hAnsi="Times New Roman" w:cs="Times New Roman"/>
          <w:sz w:val="24"/>
          <w:szCs w:val="24"/>
        </w:rPr>
        <w:t xml:space="preserve"> (</w:t>
      </w:r>
      <w:r w:rsidR="00296F7E">
        <w:rPr>
          <w:rFonts w:ascii="Times New Roman" w:hAnsi="Times New Roman" w:cs="Times New Roman"/>
          <w:b/>
          <w:sz w:val="24"/>
          <w:szCs w:val="24"/>
        </w:rPr>
        <w:t>n)</w:t>
      </w:r>
      <w:r>
        <w:rPr>
          <w:rFonts w:ascii="Times New Roman" w:hAnsi="Times New Roman" w:cs="Times New Roman"/>
          <w:sz w:val="24"/>
          <w:szCs w:val="24"/>
        </w:rPr>
        <w:t xml:space="preserve"> est égal à l’échéance de </w:t>
      </w:r>
      <w:r>
        <w:rPr>
          <w:rFonts w:ascii="Times New Roman" w:hAnsi="Times New Roman" w:cs="Times New Roman"/>
          <w:sz w:val="24"/>
          <w:szCs w:val="24"/>
        </w:rPr>
        <w:t>la créance détenue sur l’importateur ;</w:t>
      </w:r>
    </w:p>
    <w:p w:rsidR="008E1D7E" w:rsidRDefault="008E1D7E" w:rsidP="008E1D7E">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 montant de l’avance (</w:t>
      </w:r>
      <w:r>
        <w:rPr>
          <w:rFonts w:ascii="Times New Roman" w:hAnsi="Times New Roman" w:cs="Times New Roman"/>
          <w:b/>
          <w:sz w:val="24"/>
          <w:szCs w:val="24"/>
        </w:rPr>
        <w:t>S</w:t>
      </w:r>
      <w:r>
        <w:rPr>
          <w:rFonts w:ascii="Times New Roman" w:hAnsi="Times New Roman" w:cs="Times New Roman"/>
          <w:sz w:val="24"/>
          <w:szCs w:val="24"/>
        </w:rPr>
        <w:t>) doit être inférieur au montant de la créance (</w:t>
      </w:r>
      <w:r w:rsidRPr="007E3AAF">
        <w:rPr>
          <w:rFonts w:ascii="Times New Roman" w:hAnsi="Times New Roman" w:cs="Times New Roman"/>
          <w:b/>
          <w:sz w:val="24"/>
          <w:szCs w:val="24"/>
        </w:rPr>
        <w:t>K</w:t>
      </w:r>
      <w:r>
        <w:rPr>
          <w:rFonts w:ascii="Times New Roman" w:hAnsi="Times New Roman" w:cs="Times New Roman"/>
          <w:sz w:val="24"/>
          <w:szCs w:val="24"/>
        </w:rPr>
        <w:t>)</w:t>
      </w:r>
      <w:r w:rsidR="00296F7E">
        <w:rPr>
          <w:rFonts w:ascii="Times New Roman" w:hAnsi="Times New Roman" w:cs="Times New Roman"/>
          <w:sz w:val="24"/>
          <w:szCs w:val="24"/>
        </w:rPr>
        <w:t xml:space="preserve"> du fait que les intérêts de l’emprunt sont précomptés (</w:t>
      </w:r>
      <w:r w:rsidR="00296F7E">
        <w:rPr>
          <w:rFonts w:ascii="Times New Roman" w:hAnsi="Times New Roman" w:cs="Times New Roman"/>
          <w:b/>
          <w:sz w:val="24"/>
          <w:szCs w:val="24"/>
        </w:rPr>
        <w:t>t</w:t>
      </w:r>
      <w:r w:rsidR="00296F7E">
        <w:rPr>
          <w:rFonts w:ascii="Times New Roman" w:hAnsi="Times New Roman" w:cs="Times New Roman"/>
          <w:sz w:val="24"/>
          <w:szCs w:val="24"/>
        </w:rPr>
        <w:t>)</w:t>
      </w:r>
      <w:r w:rsidR="007E3AAF">
        <w:rPr>
          <w:rFonts w:ascii="Times New Roman" w:hAnsi="Times New Roman" w:cs="Times New Roman"/>
          <w:sz w:val="24"/>
          <w:szCs w:val="24"/>
        </w:rPr>
        <w:t>.</w:t>
      </w:r>
    </w:p>
    <w:p w:rsidR="007E3AAF" w:rsidRPr="007E3AAF" w:rsidRDefault="007E3AAF" w:rsidP="007E3AAF">
      <w:pPr>
        <w:jc w:val="both"/>
        <w:rPr>
          <w:rFonts w:ascii="Times New Roman" w:hAnsi="Times New Roman" w:cs="Times New Roman"/>
          <w:b/>
          <w:sz w:val="24"/>
          <w:szCs w:val="24"/>
        </w:rPr>
      </w:pPr>
      <w:r>
        <w:rPr>
          <w:rFonts w:ascii="Times New Roman" w:hAnsi="Times New Roman" w:cs="Times New Roman"/>
          <w:sz w:val="24"/>
          <w:szCs w:val="24"/>
        </w:rPr>
        <w:t xml:space="preserve">D’où </w:t>
      </w:r>
      <w:r>
        <w:rPr>
          <w:rFonts w:ascii="Times New Roman" w:hAnsi="Times New Roman" w:cs="Times New Roman"/>
          <w:b/>
          <w:sz w:val="24"/>
          <w:szCs w:val="24"/>
        </w:rPr>
        <w:t>S + (</w:t>
      </w:r>
      <w:proofErr w:type="spellStart"/>
      <w:r>
        <w:rPr>
          <w:rFonts w:ascii="Times New Roman" w:hAnsi="Times New Roman" w:cs="Times New Roman"/>
          <w:b/>
          <w:sz w:val="24"/>
          <w:szCs w:val="24"/>
        </w:rPr>
        <w:t>S×t×n</w:t>
      </w:r>
      <w:proofErr w:type="spellEnd"/>
      <w:r>
        <w:rPr>
          <w:rFonts w:ascii="Times New Roman" w:hAnsi="Times New Roman" w:cs="Times New Roman"/>
          <w:b/>
          <w:sz w:val="24"/>
          <w:szCs w:val="24"/>
        </w:rPr>
        <w:t xml:space="preserve"> / 36000) = K </w:t>
      </w:r>
    </w:p>
    <w:p w:rsidR="00012EE6" w:rsidRDefault="00012EE6" w:rsidP="00012EE6">
      <w:pPr>
        <w:jc w:val="both"/>
        <w:rPr>
          <w:rFonts w:ascii="Times New Roman" w:hAnsi="Times New Roman" w:cs="Times New Roman"/>
          <w:b/>
          <w:sz w:val="24"/>
          <w:szCs w:val="24"/>
        </w:rPr>
      </w:pPr>
      <w:r w:rsidRPr="002A4ED0">
        <w:rPr>
          <w:rFonts w:ascii="Times New Roman" w:hAnsi="Times New Roman" w:cs="Times New Roman"/>
          <w:b/>
          <w:sz w:val="24"/>
          <w:szCs w:val="24"/>
          <w:u w:val="single"/>
        </w:rPr>
        <w:t>Le marché des changes interbancaire </w:t>
      </w:r>
      <w:r w:rsidR="00296F7E" w:rsidRPr="002A4ED0">
        <w:rPr>
          <w:rFonts w:ascii="Times New Roman" w:hAnsi="Times New Roman" w:cs="Times New Roman"/>
          <w:b/>
          <w:sz w:val="24"/>
          <w:szCs w:val="24"/>
          <w:u w:val="single"/>
        </w:rPr>
        <w:t>(à terme)</w:t>
      </w:r>
      <w:r w:rsidRPr="002A4ED0">
        <w:rPr>
          <w:rFonts w:ascii="Times New Roman" w:hAnsi="Times New Roman" w:cs="Times New Roman"/>
          <w:b/>
          <w:sz w:val="24"/>
          <w:szCs w:val="24"/>
          <w:u w:val="single"/>
        </w:rPr>
        <w:t xml:space="preserve">: </w:t>
      </w:r>
      <w:r w:rsidR="008E1D7E">
        <w:rPr>
          <w:rFonts w:ascii="Times New Roman" w:hAnsi="Times New Roman" w:cs="Times New Roman"/>
          <w:sz w:val="24"/>
          <w:szCs w:val="24"/>
        </w:rPr>
        <w:t>C</w:t>
      </w:r>
      <w:r>
        <w:rPr>
          <w:rFonts w:ascii="Times New Roman" w:hAnsi="Times New Roman" w:cs="Times New Roman"/>
          <w:sz w:val="24"/>
          <w:szCs w:val="24"/>
        </w:rPr>
        <w:t xml:space="preserve">’est l’endroit </w:t>
      </w:r>
      <w:r w:rsidR="008E1D7E">
        <w:rPr>
          <w:rFonts w:ascii="Times New Roman" w:hAnsi="Times New Roman" w:cs="Times New Roman"/>
          <w:sz w:val="24"/>
          <w:szCs w:val="24"/>
        </w:rPr>
        <w:t>privilégié pour se couvrir contre le risque de change. Toute couverture sur ce marché se traduit par une livraison ou une réception de devises.</w:t>
      </w:r>
      <w:r>
        <w:rPr>
          <w:rFonts w:ascii="Times New Roman" w:hAnsi="Times New Roman" w:cs="Times New Roman"/>
          <w:b/>
          <w:sz w:val="24"/>
          <w:szCs w:val="24"/>
        </w:rPr>
        <w:t xml:space="preserve"> </w:t>
      </w:r>
    </w:p>
    <w:p w:rsidR="008E1D7E" w:rsidRPr="002A4ED0" w:rsidRDefault="00296F7E" w:rsidP="002A4ED0">
      <w:pPr>
        <w:jc w:val="both"/>
        <w:rPr>
          <w:rFonts w:ascii="Times New Roman" w:hAnsi="Times New Roman" w:cs="Times New Roman"/>
          <w:sz w:val="24"/>
          <w:szCs w:val="24"/>
        </w:rPr>
      </w:pPr>
      <w:r w:rsidRPr="002A4ED0">
        <w:rPr>
          <w:rFonts w:ascii="Times New Roman" w:hAnsi="Times New Roman" w:cs="Times New Roman"/>
          <w:sz w:val="24"/>
          <w:szCs w:val="24"/>
        </w:rPr>
        <w:t>Pour remédier toute incertitude, l’exportateur, qui redoute une baisse du cours de la devise étrangère, vend à terme auprès de son banquier le montant de sa créance (libellé dans la monnaie étrangère ou dans une</w:t>
      </w:r>
      <w:r w:rsidR="00AE535A" w:rsidRPr="002A4ED0">
        <w:rPr>
          <w:rFonts w:ascii="Times New Roman" w:hAnsi="Times New Roman" w:cs="Times New Roman"/>
          <w:sz w:val="24"/>
          <w:szCs w:val="24"/>
        </w:rPr>
        <w:t xml:space="preserve"> devise</w:t>
      </w:r>
      <w:r w:rsidRPr="002A4ED0">
        <w:rPr>
          <w:rFonts w:ascii="Times New Roman" w:hAnsi="Times New Roman" w:cs="Times New Roman"/>
          <w:sz w:val="24"/>
          <w:szCs w:val="24"/>
        </w:rPr>
        <w:t xml:space="preserve"> tierce) et détermine avec précision, la somme en monnaie nationale qu’il recevra ultérieurement.</w:t>
      </w:r>
    </w:p>
    <w:p w:rsidR="00296F7E" w:rsidRDefault="00AE535A" w:rsidP="00012EE6">
      <w:pPr>
        <w:jc w:val="both"/>
        <w:rPr>
          <w:rFonts w:ascii="Times New Roman" w:hAnsi="Times New Roman" w:cs="Times New Roman"/>
          <w:sz w:val="24"/>
          <w:szCs w:val="24"/>
        </w:rPr>
      </w:pPr>
      <w:r>
        <w:rPr>
          <w:rFonts w:ascii="Times New Roman" w:hAnsi="Times New Roman" w:cs="Times New Roman"/>
          <w:sz w:val="24"/>
          <w:szCs w:val="24"/>
        </w:rPr>
        <w:t>Le taux de chan</w:t>
      </w:r>
      <w:r w:rsidR="00296F7E">
        <w:rPr>
          <w:rFonts w:ascii="Times New Roman" w:hAnsi="Times New Roman" w:cs="Times New Roman"/>
          <w:sz w:val="24"/>
          <w:szCs w:val="24"/>
        </w:rPr>
        <w:t xml:space="preserve">ge à terme pour </w:t>
      </w:r>
      <w:r>
        <w:rPr>
          <w:rFonts w:ascii="Times New Roman" w:hAnsi="Times New Roman" w:cs="Times New Roman"/>
          <w:sz w:val="24"/>
          <w:szCs w:val="24"/>
        </w:rPr>
        <w:t>l’exportateur se détermine par le banquier comme suit :</w:t>
      </w:r>
    </w:p>
    <w:p w:rsidR="00AE535A" w:rsidRDefault="00AE535A" w:rsidP="00012EE6">
      <w:pPr>
        <w:jc w:val="both"/>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960810</wp:posOffset>
                </wp:positionH>
                <wp:positionV relativeFrom="paragraph">
                  <wp:posOffset>264491</wp:posOffset>
                </wp:positionV>
                <wp:extent cx="1622066" cy="0"/>
                <wp:effectExtent l="0" t="0" r="16510" b="19050"/>
                <wp:wrapNone/>
                <wp:docPr id="1" name="Connecteur droit 1"/>
                <wp:cNvGraphicFramePr/>
                <a:graphic xmlns:a="http://schemas.openxmlformats.org/drawingml/2006/main">
                  <a:graphicData uri="http://schemas.microsoft.com/office/word/2010/wordprocessingShape">
                    <wps:wsp>
                      <wps:cNvCnPr/>
                      <wps:spPr>
                        <a:xfrm>
                          <a:off x="0" y="0"/>
                          <a:ext cx="16220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20.85pt" to="203.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" strokecolor="#4579b8 [3044]"/>
            </w:pict>
          </mc:Fallback>
        </mc:AlternateContent>
      </w:r>
      <w:r>
        <w:rPr>
          <w:rFonts w:ascii="Times New Roman" w:hAnsi="Times New Roman" w:cs="Times New Roman"/>
          <w:b/>
          <w:sz w:val="24"/>
          <w:szCs w:val="24"/>
        </w:rPr>
        <w:t xml:space="preserve">T = </w:t>
      </w:r>
      <w:proofErr w:type="spellStart"/>
      <w:r>
        <w:rPr>
          <w:rFonts w:ascii="Times New Roman" w:hAnsi="Times New Roman" w:cs="Times New Roman"/>
          <w:b/>
          <w:sz w:val="24"/>
          <w:szCs w:val="24"/>
        </w:rPr>
        <w:t>C</w:t>
      </w:r>
      <w:r w:rsidRPr="00AE535A">
        <w:rPr>
          <w:rFonts w:ascii="Times New Roman" w:hAnsi="Times New Roman" w:cs="Times New Roman"/>
          <w:b/>
          <w:sz w:val="24"/>
          <w:szCs w:val="24"/>
          <w:vertAlign w:val="subscript"/>
        </w:rPr>
        <w:t>Acheteur</w:t>
      </w:r>
      <w:proofErr w:type="spellEnd"/>
      <w:r w:rsidRPr="00AE535A">
        <w:rPr>
          <w:rFonts w:ascii="Times New Roman" w:hAnsi="Times New Roman" w:cs="Times New Roman"/>
          <w:b/>
          <w:sz w:val="24"/>
          <w:szCs w:val="24"/>
        </w:rPr>
        <w:t xml:space="preserve"> ×</w:t>
      </w:r>
      <w:r>
        <w:rPr>
          <w:rFonts w:ascii="Times New Roman" w:hAnsi="Times New Roman" w:cs="Times New Roman"/>
          <w:b/>
          <w:sz w:val="24"/>
          <w:szCs w:val="24"/>
        </w:rPr>
        <w:t xml:space="preserve"> (1+ </w:t>
      </w:r>
      <w:proofErr w:type="spellStart"/>
      <w:r>
        <w:rPr>
          <w:rFonts w:ascii="Times New Roman" w:hAnsi="Times New Roman" w:cs="Times New Roman"/>
          <w:b/>
          <w:sz w:val="24"/>
          <w:szCs w:val="24"/>
        </w:rPr>
        <w:t>i</w:t>
      </w:r>
      <w:r w:rsidRPr="00AE535A">
        <w:rPr>
          <w:rFonts w:ascii="Times New Roman" w:hAnsi="Times New Roman" w:cs="Times New Roman"/>
          <w:b/>
          <w:sz w:val="24"/>
          <w:szCs w:val="24"/>
          <w:vertAlign w:val="subscript"/>
        </w:rPr>
        <w:t>MN</w:t>
      </w:r>
      <w:proofErr w:type="spellEnd"/>
      <w:r>
        <w:rPr>
          <w:rFonts w:ascii="Times New Roman" w:hAnsi="Times New Roman" w:cs="Times New Roman"/>
          <w:b/>
          <w:sz w:val="24"/>
          <w:szCs w:val="24"/>
          <w:vertAlign w:val="subscript"/>
        </w:rPr>
        <w:t xml:space="preserve"> emprunteur</w:t>
      </w:r>
      <w:r>
        <w:rPr>
          <w:rFonts w:ascii="Times New Roman" w:hAnsi="Times New Roman" w:cs="Times New Roman"/>
          <w:b/>
          <w:sz w:val="24"/>
          <w:szCs w:val="24"/>
        </w:rPr>
        <w:t xml:space="preserve"> × n/360)                    d’où MN : Monnaie nationale</w:t>
      </w:r>
    </w:p>
    <w:p w:rsidR="00AE535A" w:rsidRDefault="00AE535A" w:rsidP="00012EE6">
      <w:pPr>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(1+ </w:t>
      </w:r>
      <w:proofErr w:type="spellStart"/>
      <w:r>
        <w:rPr>
          <w:rFonts w:ascii="Times New Roman" w:hAnsi="Times New Roman" w:cs="Times New Roman"/>
          <w:b/>
          <w:sz w:val="24"/>
          <w:szCs w:val="24"/>
        </w:rPr>
        <w:t>i</w:t>
      </w:r>
      <w:r>
        <w:rPr>
          <w:rFonts w:ascii="Times New Roman" w:hAnsi="Times New Roman" w:cs="Times New Roman"/>
          <w:b/>
          <w:sz w:val="24"/>
          <w:szCs w:val="24"/>
          <w:vertAlign w:val="subscript"/>
        </w:rPr>
        <w:t>ME</w:t>
      </w:r>
      <w:proofErr w:type="spellEnd"/>
      <w:r>
        <w:rPr>
          <w:rFonts w:ascii="Times New Roman" w:hAnsi="Times New Roman" w:cs="Times New Roman"/>
          <w:b/>
          <w:sz w:val="24"/>
          <w:szCs w:val="24"/>
          <w:vertAlign w:val="subscript"/>
        </w:rPr>
        <w:t xml:space="preserve"> prêteur</w:t>
      </w:r>
      <w:r>
        <w:rPr>
          <w:rFonts w:ascii="Times New Roman" w:hAnsi="Times New Roman" w:cs="Times New Roman"/>
          <w:b/>
          <w:sz w:val="24"/>
          <w:szCs w:val="24"/>
        </w:rPr>
        <w:t xml:space="preserve"> × n/360)</w:t>
      </w:r>
      <w:r>
        <w:rPr>
          <w:rFonts w:ascii="Times New Roman" w:hAnsi="Times New Roman" w:cs="Times New Roman"/>
          <w:b/>
          <w:sz w:val="24"/>
          <w:szCs w:val="24"/>
        </w:rPr>
        <w:t xml:space="preserve">                                 ME : Monnaie étrangère</w:t>
      </w:r>
    </w:p>
    <w:p w:rsidR="00AE535A" w:rsidRDefault="00BA12F8" w:rsidP="00012EE6">
      <w:pPr>
        <w:jc w:val="both"/>
        <w:rPr>
          <w:rFonts w:ascii="Times New Roman" w:hAnsi="Times New Roman" w:cs="Times New Roman"/>
          <w:sz w:val="24"/>
          <w:szCs w:val="24"/>
        </w:rPr>
      </w:pPr>
      <w:r>
        <w:rPr>
          <w:rFonts w:ascii="Times New Roman" w:hAnsi="Times New Roman" w:cs="Times New Roman"/>
          <w:sz w:val="24"/>
          <w:szCs w:val="24"/>
        </w:rPr>
        <w:t>L’importateur</w:t>
      </w:r>
      <w:r w:rsidR="00AE535A">
        <w:rPr>
          <w:rFonts w:ascii="Times New Roman" w:hAnsi="Times New Roman" w:cs="Times New Roman"/>
          <w:sz w:val="24"/>
          <w:szCs w:val="24"/>
        </w:rPr>
        <w:t xml:space="preserve"> qui contracte </w:t>
      </w:r>
      <w:r>
        <w:rPr>
          <w:rFonts w:ascii="Times New Roman" w:hAnsi="Times New Roman" w:cs="Times New Roman"/>
          <w:sz w:val="24"/>
          <w:szCs w:val="24"/>
        </w:rPr>
        <w:t>dans sa monnaie connait la somme qu’il devra à l’échéance du crédit qui lui a été accordé. Si le montant de sa dette est libellé dans la devise étrangère, pour remédier à toute incertitude, l’importateur qui redoute une hausse de cours de la devise, il achète à terme auprès de son banquier les devises correspondant au montant de dette et il détermine avec précision, de cette manière, la somme en monnaie nationale qu’il devra ultérieurement verser à la banque.</w:t>
      </w:r>
    </w:p>
    <w:p w:rsidR="00BA12F8" w:rsidRDefault="00BA12F8" w:rsidP="00BA12F8">
      <w:pPr>
        <w:jc w:val="both"/>
        <w:rPr>
          <w:rFonts w:ascii="Times New Roman" w:hAnsi="Times New Roman" w:cs="Times New Roman"/>
          <w:sz w:val="24"/>
          <w:szCs w:val="24"/>
        </w:rPr>
      </w:pPr>
      <w:r>
        <w:rPr>
          <w:rFonts w:ascii="Times New Roman" w:hAnsi="Times New Roman" w:cs="Times New Roman"/>
          <w:sz w:val="24"/>
          <w:szCs w:val="24"/>
        </w:rPr>
        <w:t>Le taux de change à terme pour l’</w:t>
      </w:r>
      <w:r>
        <w:rPr>
          <w:rFonts w:ascii="Times New Roman" w:hAnsi="Times New Roman" w:cs="Times New Roman"/>
          <w:sz w:val="24"/>
          <w:szCs w:val="24"/>
        </w:rPr>
        <w:t>importateur</w:t>
      </w:r>
      <w:r>
        <w:rPr>
          <w:rFonts w:ascii="Times New Roman" w:hAnsi="Times New Roman" w:cs="Times New Roman"/>
          <w:sz w:val="24"/>
          <w:szCs w:val="24"/>
        </w:rPr>
        <w:t xml:space="preserve"> se détermine par le banquier comme suit :</w:t>
      </w:r>
    </w:p>
    <w:p w:rsidR="00BA12F8" w:rsidRDefault="00BA12F8" w:rsidP="00BA12F8">
      <w:pPr>
        <w:jc w:val="both"/>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661312" behindDoc="0" locked="0" layoutInCell="1" allowOverlap="1" wp14:anchorId="1660814C" wp14:editId="0F4CEE19">
                <wp:simplePos x="0" y="0"/>
                <wp:positionH relativeFrom="column">
                  <wp:posOffset>960810</wp:posOffset>
                </wp:positionH>
                <wp:positionV relativeFrom="paragraph">
                  <wp:posOffset>264491</wp:posOffset>
                </wp:positionV>
                <wp:extent cx="1622066" cy="0"/>
                <wp:effectExtent l="0" t="0" r="16510" b="19050"/>
                <wp:wrapNone/>
                <wp:docPr id="2" name="Connecteur droit 2"/>
                <wp:cNvGraphicFramePr/>
                <a:graphic xmlns:a="http://schemas.openxmlformats.org/drawingml/2006/main">
                  <a:graphicData uri="http://schemas.microsoft.com/office/word/2010/wordprocessingShape">
                    <wps:wsp>
                      <wps:cNvCnPr/>
                      <wps:spPr>
                        <a:xfrm>
                          <a:off x="0" y="0"/>
                          <a:ext cx="16220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20.85pt" to="203.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" strokecolor="#4579b8 [3044]"/>
            </w:pict>
          </mc:Fallback>
        </mc:AlternateContent>
      </w:r>
      <w:r>
        <w:rPr>
          <w:rFonts w:ascii="Times New Roman" w:hAnsi="Times New Roman" w:cs="Times New Roman"/>
          <w:b/>
          <w:sz w:val="24"/>
          <w:szCs w:val="24"/>
        </w:rPr>
        <w:t xml:space="preserve">T = </w:t>
      </w:r>
      <w:proofErr w:type="spellStart"/>
      <w:r>
        <w:rPr>
          <w:rFonts w:ascii="Times New Roman" w:hAnsi="Times New Roman" w:cs="Times New Roman"/>
          <w:b/>
          <w:sz w:val="24"/>
          <w:szCs w:val="24"/>
        </w:rPr>
        <w:t>C</w:t>
      </w:r>
      <w:r>
        <w:rPr>
          <w:rFonts w:ascii="Times New Roman" w:hAnsi="Times New Roman" w:cs="Times New Roman"/>
          <w:b/>
          <w:sz w:val="24"/>
          <w:szCs w:val="24"/>
          <w:vertAlign w:val="subscript"/>
        </w:rPr>
        <w:t>vendeur</w:t>
      </w:r>
      <w:proofErr w:type="spellEnd"/>
      <w:r>
        <w:rPr>
          <w:rFonts w:ascii="Times New Roman" w:hAnsi="Times New Roman" w:cs="Times New Roman"/>
          <w:b/>
          <w:sz w:val="24"/>
          <w:szCs w:val="24"/>
          <w:vertAlign w:val="subscript"/>
        </w:rPr>
        <w:t xml:space="preserve"> </w:t>
      </w:r>
      <w:r w:rsidRPr="00AE535A">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(1+ </w:t>
      </w:r>
      <w:proofErr w:type="spellStart"/>
      <w:r>
        <w:rPr>
          <w:rFonts w:ascii="Times New Roman" w:hAnsi="Times New Roman" w:cs="Times New Roman"/>
          <w:b/>
          <w:sz w:val="24"/>
          <w:szCs w:val="24"/>
        </w:rPr>
        <w:t>i</w:t>
      </w:r>
      <w:r w:rsidRPr="00AE535A">
        <w:rPr>
          <w:rFonts w:ascii="Times New Roman" w:hAnsi="Times New Roman" w:cs="Times New Roman"/>
          <w:b/>
          <w:sz w:val="24"/>
          <w:szCs w:val="24"/>
          <w:vertAlign w:val="subscript"/>
        </w:rPr>
        <w:t>MN</w:t>
      </w:r>
      <w:proofErr w:type="spellEnd"/>
      <w:r>
        <w:rPr>
          <w:rFonts w:ascii="Times New Roman" w:hAnsi="Times New Roman" w:cs="Times New Roman"/>
          <w:b/>
          <w:sz w:val="24"/>
          <w:szCs w:val="24"/>
          <w:vertAlign w:val="subscript"/>
        </w:rPr>
        <w:t xml:space="preserve"> </w:t>
      </w:r>
      <w:r>
        <w:rPr>
          <w:rFonts w:ascii="Times New Roman" w:hAnsi="Times New Roman" w:cs="Times New Roman"/>
          <w:b/>
          <w:sz w:val="24"/>
          <w:szCs w:val="24"/>
          <w:vertAlign w:val="subscript"/>
        </w:rPr>
        <w:t>prêteur</w:t>
      </w:r>
      <w:r>
        <w:rPr>
          <w:rFonts w:ascii="Times New Roman" w:hAnsi="Times New Roman" w:cs="Times New Roman"/>
          <w:b/>
          <w:sz w:val="24"/>
          <w:szCs w:val="24"/>
        </w:rPr>
        <w:t xml:space="preserve"> × n/360)                    </w:t>
      </w:r>
    </w:p>
    <w:p w:rsidR="00BA12F8" w:rsidRDefault="00BA12F8" w:rsidP="00BA12F8">
      <w:pPr>
        <w:jc w:val="both"/>
        <w:rPr>
          <w:rFonts w:ascii="Times New Roman" w:hAnsi="Times New Roman" w:cs="Times New Roman"/>
          <w:b/>
          <w:sz w:val="24"/>
          <w:szCs w:val="24"/>
        </w:rPr>
      </w:pPr>
      <w:r>
        <w:rPr>
          <w:rFonts w:ascii="Times New Roman" w:hAnsi="Times New Roman" w:cs="Times New Roman"/>
          <w:b/>
          <w:sz w:val="24"/>
          <w:szCs w:val="24"/>
        </w:rPr>
        <w:t xml:space="preserve">                        (1+ </w:t>
      </w:r>
      <w:proofErr w:type="spellStart"/>
      <w:r>
        <w:rPr>
          <w:rFonts w:ascii="Times New Roman" w:hAnsi="Times New Roman" w:cs="Times New Roman"/>
          <w:b/>
          <w:sz w:val="24"/>
          <w:szCs w:val="24"/>
        </w:rPr>
        <w:t>i</w:t>
      </w:r>
      <w:r>
        <w:rPr>
          <w:rFonts w:ascii="Times New Roman" w:hAnsi="Times New Roman" w:cs="Times New Roman"/>
          <w:b/>
          <w:sz w:val="24"/>
          <w:szCs w:val="24"/>
          <w:vertAlign w:val="subscript"/>
        </w:rPr>
        <w:t>ME</w:t>
      </w:r>
      <w:proofErr w:type="spellEnd"/>
      <w:r>
        <w:rPr>
          <w:rFonts w:ascii="Times New Roman" w:hAnsi="Times New Roman" w:cs="Times New Roman"/>
          <w:b/>
          <w:sz w:val="24"/>
          <w:szCs w:val="24"/>
          <w:vertAlign w:val="subscript"/>
        </w:rPr>
        <w:t xml:space="preserve"> emprunteur</w:t>
      </w:r>
      <w:r>
        <w:rPr>
          <w:rFonts w:ascii="Times New Roman" w:hAnsi="Times New Roman" w:cs="Times New Roman"/>
          <w:b/>
          <w:sz w:val="24"/>
          <w:szCs w:val="24"/>
        </w:rPr>
        <w:t xml:space="preserve"> × n/360)                                </w:t>
      </w:r>
    </w:p>
    <w:p w:rsidR="00BA12F8" w:rsidRDefault="00BA12F8"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lastRenderedPageBreak/>
        <w:t>COFACE :</w:t>
      </w:r>
      <w:r>
        <w:rPr>
          <w:rFonts w:ascii="Times New Roman" w:hAnsi="Times New Roman" w:cs="Times New Roman"/>
          <w:b/>
          <w:sz w:val="24"/>
          <w:szCs w:val="24"/>
        </w:rPr>
        <w:t xml:space="preserve"> </w:t>
      </w:r>
      <w:r>
        <w:rPr>
          <w:rFonts w:ascii="Times New Roman" w:hAnsi="Times New Roman" w:cs="Times New Roman"/>
          <w:sz w:val="24"/>
          <w:szCs w:val="24"/>
        </w:rPr>
        <w:t>C’est la compagnie française d’assura</w:t>
      </w:r>
      <w:r w:rsidR="00186F25">
        <w:rPr>
          <w:rFonts w:ascii="Times New Roman" w:hAnsi="Times New Roman" w:cs="Times New Roman"/>
          <w:sz w:val="24"/>
          <w:szCs w:val="24"/>
        </w:rPr>
        <w:t>nce pour le commerce extérieur. Son rôle est de faciliter les échanges internationaux entre entreprises et leur offrir des solutions pour gérer, financer et protéger leurs postes clients. Elle a quatre grandes lignes de métiers :</w:t>
      </w:r>
    </w:p>
    <w:p w:rsidR="00186F25" w:rsidRDefault="00186F25" w:rsidP="00012EE6">
      <w:pPr>
        <w:jc w:val="both"/>
        <w:rPr>
          <w:rFonts w:ascii="Times New Roman" w:hAnsi="Times New Roman" w:cs="Times New Roman"/>
          <w:sz w:val="24"/>
          <w:szCs w:val="24"/>
        </w:rPr>
      </w:pPr>
      <w:r>
        <w:rPr>
          <w:rFonts w:ascii="Times New Roman" w:hAnsi="Times New Roman" w:cs="Times New Roman"/>
          <w:sz w:val="24"/>
          <w:szCs w:val="24"/>
        </w:rPr>
        <w:t>L’information de l’entreprise, la gestion des créances, l’affacturage et l’assurance-crédit.</w:t>
      </w:r>
    </w:p>
    <w:p w:rsidR="00186F25" w:rsidRDefault="00186F25" w:rsidP="00012EE6">
      <w:pPr>
        <w:jc w:val="both"/>
        <w:rPr>
          <w:rFonts w:ascii="Times New Roman" w:hAnsi="Times New Roman" w:cs="Times New Roman"/>
          <w:sz w:val="24"/>
          <w:szCs w:val="24"/>
        </w:rPr>
      </w:pPr>
      <w:r>
        <w:rPr>
          <w:rFonts w:ascii="Times New Roman" w:hAnsi="Times New Roman" w:cs="Times New Roman"/>
          <w:sz w:val="24"/>
          <w:szCs w:val="24"/>
        </w:rPr>
        <w:t>La COFACE peut aussi aider à couvrir le risque de change avec son système d’assurance change Import-Export et d’assurance change négociation.</w:t>
      </w:r>
    </w:p>
    <w:p w:rsidR="003307E1" w:rsidRPr="003307E1" w:rsidRDefault="00CF3EDB"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Le risque de crédit (de non-paiement) :</w:t>
      </w:r>
      <w:r>
        <w:rPr>
          <w:rFonts w:ascii="Times New Roman" w:hAnsi="Times New Roman" w:cs="Times New Roman"/>
          <w:b/>
          <w:sz w:val="24"/>
          <w:szCs w:val="24"/>
        </w:rPr>
        <w:t xml:space="preserve"> </w:t>
      </w:r>
      <w:r w:rsidR="003307E1">
        <w:rPr>
          <w:rFonts w:ascii="Times New Roman" w:hAnsi="Times New Roman" w:cs="Times New Roman"/>
          <w:sz w:val="24"/>
          <w:szCs w:val="24"/>
        </w:rPr>
        <w:t>C’</w:t>
      </w:r>
      <w:r w:rsidR="00001AB2">
        <w:rPr>
          <w:rFonts w:ascii="Times New Roman" w:hAnsi="Times New Roman" w:cs="Times New Roman"/>
          <w:sz w:val="24"/>
          <w:szCs w:val="24"/>
        </w:rPr>
        <w:t>est un</w:t>
      </w:r>
      <w:r w:rsidR="003307E1">
        <w:rPr>
          <w:rFonts w:ascii="Times New Roman" w:hAnsi="Times New Roman" w:cs="Times New Roman"/>
          <w:sz w:val="24"/>
          <w:szCs w:val="24"/>
        </w:rPr>
        <w:t xml:space="preserve"> crédit </w:t>
      </w:r>
      <w:proofErr w:type="spellStart"/>
      <w:proofErr w:type="gramStart"/>
      <w:r w:rsidR="003307E1">
        <w:rPr>
          <w:rFonts w:ascii="Times New Roman" w:hAnsi="Times New Roman" w:cs="Times New Roman"/>
          <w:sz w:val="24"/>
          <w:szCs w:val="24"/>
        </w:rPr>
        <w:t>inter-entreprise</w:t>
      </w:r>
      <w:proofErr w:type="spellEnd"/>
      <w:proofErr w:type="gramEnd"/>
      <w:r w:rsidR="003307E1">
        <w:rPr>
          <w:rFonts w:ascii="Times New Roman" w:hAnsi="Times New Roman" w:cs="Times New Roman"/>
          <w:sz w:val="24"/>
          <w:szCs w:val="24"/>
        </w:rPr>
        <w:t xml:space="preserve"> accordé par le fournisseur à son client étranger, dont une part de trésorerie qui devient indisponible pendant cette période.</w:t>
      </w:r>
    </w:p>
    <w:p w:rsidR="00186F25" w:rsidRPr="00CF3EDB" w:rsidRDefault="003307E1" w:rsidP="00012EE6">
      <w:pPr>
        <w:jc w:val="both"/>
        <w:rPr>
          <w:rFonts w:ascii="Times New Roman" w:hAnsi="Times New Roman" w:cs="Times New Roman"/>
          <w:sz w:val="24"/>
          <w:szCs w:val="24"/>
        </w:rPr>
      </w:pPr>
      <w:r>
        <w:rPr>
          <w:rFonts w:ascii="Times New Roman" w:hAnsi="Times New Roman" w:cs="Times New Roman"/>
          <w:sz w:val="24"/>
          <w:szCs w:val="24"/>
        </w:rPr>
        <w:t>D</w:t>
      </w:r>
      <w:r w:rsidR="00CF3EDB">
        <w:rPr>
          <w:rFonts w:ascii="Times New Roman" w:hAnsi="Times New Roman" w:cs="Times New Roman"/>
          <w:sz w:val="24"/>
          <w:szCs w:val="24"/>
        </w:rPr>
        <w:t xml:space="preserve">ès lors qu’une entreprise accorde un délai de paiement à son client étranger, elle s’expose au risque </w:t>
      </w:r>
      <w:r>
        <w:rPr>
          <w:rFonts w:ascii="Times New Roman" w:hAnsi="Times New Roman" w:cs="Times New Roman"/>
          <w:sz w:val="24"/>
          <w:szCs w:val="24"/>
        </w:rPr>
        <w:t>de crédit : le risque où d’être payée en retard ou de ne pas être payée de tout.</w:t>
      </w:r>
    </w:p>
    <w:p w:rsidR="00AE535A" w:rsidRDefault="003307E1"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Auto-couverture :</w:t>
      </w:r>
      <w:r>
        <w:rPr>
          <w:rFonts w:ascii="Times New Roman" w:hAnsi="Times New Roman" w:cs="Times New Roman"/>
          <w:b/>
          <w:sz w:val="24"/>
          <w:szCs w:val="24"/>
        </w:rPr>
        <w:t xml:space="preserve"> </w:t>
      </w:r>
      <w:r w:rsidR="00001AB2">
        <w:rPr>
          <w:rFonts w:ascii="Times New Roman" w:hAnsi="Times New Roman" w:cs="Times New Roman"/>
          <w:sz w:val="24"/>
          <w:szCs w:val="24"/>
        </w:rPr>
        <w:t>C’est une stratégie interne mise en place une entreprise pour gérer les risques liés aux impayés dans le commerce international. Au lieu de souscrire à une assurance-crédit ou de recourir à des tiers (les banques et sociétés d’affacturage), l’entreprise constitue une provision ou un fond interne à partir de ses revenus pour absorber les éventuelles pertes dues à des créances irrécouvrables.</w:t>
      </w:r>
    </w:p>
    <w:p w:rsidR="00001AB2" w:rsidRDefault="00001AB2"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Chiffre d’affaires supplémentaire nécessaire pour compenser un impayé</w:t>
      </w:r>
      <w:r w:rsidR="00795346" w:rsidRPr="002A4ED0">
        <w:rPr>
          <w:rFonts w:ascii="Times New Roman" w:hAnsi="Times New Roman" w:cs="Times New Roman"/>
          <w:b/>
          <w:sz w:val="24"/>
          <w:szCs w:val="24"/>
          <w:u w:val="single"/>
        </w:rPr>
        <w:t xml:space="preserve"> (</w:t>
      </w:r>
      <w:r w:rsidR="00795346" w:rsidRPr="002A4ED0">
        <w:rPr>
          <w:rFonts w:ascii="Times New Roman" w:hAnsi="Times New Roman" w:cs="Times New Roman"/>
          <w:b/>
          <w:sz w:val="24"/>
          <w:szCs w:val="24"/>
          <w:u w:val="single"/>
        </w:rPr>
        <w:t>CA</w:t>
      </w:r>
      <w:r w:rsidR="00795346" w:rsidRPr="002A4ED0">
        <w:rPr>
          <w:rFonts w:ascii="Times New Roman" w:hAnsi="Times New Roman" w:cs="Times New Roman"/>
          <w:b/>
          <w:sz w:val="24"/>
          <w:szCs w:val="24"/>
          <w:u w:val="single"/>
          <w:vertAlign w:val="subscript"/>
        </w:rPr>
        <w:t xml:space="preserve"> </w:t>
      </w:r>
      <w:proofErr w:type="spellStart"/>
      <w:r w:rsidR="00795346" w:rsidRPr="002A4ED0">
        <w:rPr>
          <w:rFonts w:ascii="Times New Roman" w:hAnsi="Times New Roman" w:cs="Times New Roman"/>
          <w:b/>
          <w:sz w:val="24"/>
          <w:szCs w:val="24"/>
          <w:u w:val="single"/>
          <w:vertAlign w:val="subscript"/>
        </w:rPr>
        <w:t>Supp</w:t>
      </w:r>
      <w:proofErr w:type="spellEnd"/>
      <w:r w:rsidR="00795346" w:rsidRPr="002A4ED0">
        <w:rPr>
          <w:rFonts w:ascii="Times New Roman" w:hAnsi="Times New Roman" w:cs="Times New Roman"/>
          <w:b/>
          <w:sz w:val="24"/>
          <w:szCs w:val="24"/>
          <w:u w:val="single"/>
        </w:rPr>
        <w:t>)</w:t>
      </w:r>
      <w:r w:rsidRPr="002A4ED0">
        <w:rPr>
          <w:rFonts w:ascii="Times New Roman" w:hAnsi="Times New Roman" w:cs="Times New Roman"/>
          <w:b/>
          <w:sz w:val="24"/>
          <w:szCs w:val="24"/>
          <w:u w:val="single"/>
        </w:rPr>
        <w:t> :</w:t>
      </w:r>
      <w:r>
        <w:rPr>
          <w:rFonts w:ascii="Times New Roman" w:hAnsi="Times New Roman" w:cs="Times New Roman"/>
          <w:sz w:val="24"/>
          <w:szCs w:val="24"/>
        </w:rPr>
        <w:t xml:space="preserve"> En cas de perte réelle, l’entreprise détermine le chiffre d’affaires supplémentaire nécessaire pour établir l’équilibre financier en fonction du taux de marge brute. </w:t>
      </w:r>
    </w:p>
    <w:p w:rsidR="00001AB2" w:rsidRDefault="00001AB2" w:rsidP="00012EE6">
      <w:pPr>
        <w:jc w:val="both"/>
        <w:rPr>
          <w:rFonts w:ascii="Times New Roman" w:hAnsi="Times New Roman" w:cs="Times New Roman"/>
          <w:b/>
          <w:sz w:val="24"/>
          <w:szCs w:val="24"/>
        </w:rPr>
      </w:pPr>
      <w:r w:rsidRPr="00001AB2">
        <w:rPr>
          <w:rFonts w:ascii="Times New Roman" w:hAnsi="Times New Roman" w:cs="Times New Roman"/>
          <w:b/>
          <w:sz w:val="24"/>
          <w:szCs w:val="24"/>
        </w:rPr>
        <w:t>CA</w:t>
      </w:r>
      <w:r w:rsidRPr="00001AB2">
        <w:rPr>
          <w:rFonts w:ascii="Times New Roman" w:hAnsi="Times New Roman" w:cs="Times New Roman"/>
          <w:b/>
          <w:sz w:val="24"/>
          <w:szCs w:val="24"/>
          <w:vertAlign w:val="subscript"/>
        </w:rPr>
        <w:t xml:space="preserve"> </w:t>
      </w:r>
      <w:proofErr w:type="spellStart"/>
      <w:r w:rsidRPr="00001AB2">
        <w:rPr>
          <w:rFonts w:ascii="Times New Roman" w:hAnsi="Times New Roman" w:cs="Times New Roman"/>
          <w:b/>
          <w:sz w:val="24"/>
          <w:szCs w:val="24"/>
          <w:vertAlign w:val="subscript"/>
        </w:rPr>
        <w:t>Supp</w:t>
      </w:r>
      <w:proofErr w:type="spellEnd"/>
      <w:r>
        <w:rPr>
          <w:rFonts w:ascii="Times New Roman" w:hAnsi="Times New Roman" w:cs="Times New Roman"/>
          <w:b/>
          <w:sz w:val="24"/>
          <w:szCs w:val="24"/>
        </w:rPr>
        <w:t xml:space="preserve"> = Montant de l’impayé / taux de marge brute</w:t>
      </w:r>
    </w:p>
    <w:p w:rsidR="00001AB2" w:rsidRDefault="00001AB2"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Le taux de marge brute </w:t>
      </w:r>
      <w:r w:rsidR="00795346" w:rsidRPr="002A4ED0">
        <w:rPr>
          <w:rFonts w:ascii="Times New Roman" w:hAnsi="Times New Roman" w:cs="Times New Roman"/>
          <w:b/>
          <w:sz w:val="24"/>
          <w:szCs w:val="24"/>
          <w:u w:val="single"/>
        </w:rPr>
        <w:t>(TMB</w:t>
      </w:r>
      <w:r w:rsidR="0079534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C’est un indicateur de performance financière </w:t>
      </w:r>
      <w:r w:rsidR="00795346">
        <w:rPr>
          <w:rFonts w:ascii="Times New Roman" w:hAnsi="Times New Roman" w:cs="Times New Roman"/>
          <w:sz w:val="24"/>
          <w:szCs w:val="24"/>
        </w:rPr>
        <w:t>qui mesure la rentabilité de l’entreprise par rapport à son chiffre d’affaires. Il indique la proportion des ventes qui reste disponible après avoir couvert les coûts directs liés à la production ou à la prestation des services.</w:t>
      </w:r>
      <w:r>
        <w:rPr>
          <w:rFonts w:ascii="Times New Roman" w:hAnsi="Times New Roman" w:cs="Times New Roman"/>
          <w:sz w:val="24"/>
          <w:szCs w:val="24"/>
        </w:rPr>
        <w:t xml:space="preserve"> </w:t>
      </w:r>
    </w:p>
    <w:p w:rsidR="00017DC9" w:rsidRPr="00017DC9" w:rsidRDefault="00017DC9" w:rsidP="00012EE6">
      <w:pPr>
        <w:jc w:val="both"/>
        <w:rPr>
          <w:rFonts w:ascii="Times New Roman" w:hAnsi="Times New Roman" w:cs="Times New Roman"/>
          <w:sz w:val="24"/>
          <w:szCs w:val="24"/>
        </w:rPr>
      </w:pPr>
      <w:r w:rsidRPr="00017DC9">
        <w:rPr>
          <w:rFonts w:ascii="Times New Roman" w:hAnsi="Times New Roman" w:cs="Times New Roman"/>
          <w:sz w:val="24"/>
          <w:szCs w:val="24"/>
        </w:rPr>
        <w:t>Avant la prise en compte de l’impayé par l’entreprise :</w:t>
      </w:r>
    </w:p>
    <w:p w:rsidR="00795346" w:rsidRPr="00017DC9" w:rsidRDefault="00795346" w:rsidP="00012EE6">
      <w:pPr>
        <w:jc w:val="both"/>
        <w:rPr>
          <w:rFonts w:ascii="Times New Roman" w:hAnsi="Times New Roman" w:cs="Times New Roman"/>
          <w:b/>
          <w:sz w:val="24"/>
          <w:szCs w:val="24"/>
        </w:rPr>
      </w:pPr>
      <w:r w:rsidRPr="00017DC9">
        <w:rPr>
          <w:rFonts w:ascii="Times New Roman" w:hAnsi="Times New Roman" w:cs="Times New Roman"/>
          <w:b/>
          <w:noProof/>
          <w:sz w:val="24"/>
          <w:szCs w:val="24"/>
          <w:lang w:eastAsia="fr-FR"/>
        </w:rPr>
        <mc:AlternateContent>
          <mc:Choice Requires="wps">
            <w:drawing>
              <wp:anchor distT="0" distB="0" distL="114300" distR="114300" simplePos="0" relativeHeight="251663360" behindDoc="0" locked="0" layoutInCell="1" allowOverlap="1" wp14:anchorId="7C85F39E" wp14:editId="39DFF487">
                <wp:simplePos x="0" y="0"/>
                <wp:positionH relativeFrom="column">
                  <wp:posOffset>507586</wp:posOffset>
                </wp:positionH>
                <wp:positionV relativeFrom="paragraph">
                  <wp:posOffset>276584</wp:posOffset>
                </wp:positionV>
                <wp:extent cx="1979543" cy="0"/>
                <wp:effectExtent l="0" t="0" r="20955" b="19050"/>
                <wp:wrapNone/>
                <wp:docPr id="3" name="Connecteur droit 3"/>
                <wp:cNvGraphicFramePr/>
                <a:graphic xmlns:a="http://schemas.openxmlformats.org/drawingml/2006/main">
                  <a:graphicData uri="http://schemas.microsoft.com/office/word/2010/wordprocessingShape">
                    <wps:wsp>
                      <wps:cNvCnPr/>
                      <wps:spPr>
                        <a:xfrm>
                          <a:off x="0" y="0"/>
                          <a:ext cx="1979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5pt,21.8pt" to="195.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" strokecolor="#4579b8 [3044]"/>
            </w:pict>
          </mc:Fallback>
        </mc:AlternateContent>
      </w:r>
      <w:r w:rsidRPr="00017DC9">
        <w:rPr>
          <w:rFonts w:ascii="Times New Roman" w:hAnsi="Times New Roman" w:cs="Times New Roman"/>
          <w:b/>
          <w:sz w:val="24"/>
          <w:szCs w:val="24"/>
        </w:rPr>
        <w:t xml:space="preserve">TMB = </w:t>
      </w:r>
      <w:proofErr w:type="gramStart"/>
      <w:r w:rsidRPr="00017DC9">
        <w:rPr>
          <w:rFonts w:ascii="Times New Roman" w:hAnsi="Times New Roman" w:cs="Times New Roman"/>
          <w:b/>
          <w:sz w:val="24"/>
          <w:szCs w:val="24"/>
        </w:rPr>
        <w:t>( CA</w:t>
      </w:r>
      <w:proofErr w:type="gramEnd"/>
      <w:r w:rsidR="00017DC9">
        <w:rPr>
          <w:rFonts w:ascii="Times New Roman" w:hAnsi="Times New Roman" w:cs="Times New Roman"/>
          <w:b/>
          <w:sz w:val="24"/>
          <w:szCs w:val="24"/>
        </w:rPr>
        <w:t xml:space="preserve"> </w:t>
      </w:r>
      <w:r w:rsidR="00017DC9">
        <w:rPr>
          <w:rFonts w:ascii="Times New Roman" w:hAnsi="Times New Roman" w:cs="Times New Roman"/>
          <w:b/>
          <w:sz w:val="24"/>
          <w:szCs w:val="24"/>
          <w:vertAlign w:val="subscript"/>
        </w:rPr>
        <w:t>G</w:t>
      </w:r>
      <w:r w:rsidRPr="00017DC9">
        <w:rPr>
          <w:rFonts w:ascii="Times New Roman" w:hAnsi="Times New Roman" w:cs="Times New Roman"/>
          <w:b/>
          <w:sz w:val="24"/>
          <w:szCs w:val="24"/>
          <w:vertAlign w:val="subscript"/>
        </w:rPr>
        <w:t xml:space="preserve">lobal </w:t>
      </w:r>
      <w:r w:rsidRPr="00017DC9">
        <w:rPr>
          <w:rFonts w:ascii="Times New Roman" w:hAnsi="Times New Roman" w:cs="Times New Roman"/>
          <w:b/>
          <w:sz w:val="24"/>
          <w:szCs w:val="24"/>
        </w:rPr>
        <w:t>– Coût de production )  ×</w:t>
      </w:r>
      <w:r w:rsidR="00017DC9">
        <w:rPr>
          <w:rFonts w:ascii="Times New Roman" w:hAnsi="Times New Roman" w:cs="Times New Roman"/>
          <w:b/>
          <w:sz w:val="24"/>
          <w:szCs w:val="24"/>
        </w:rPr>
        <w:t xml:space="preserve"> 100</w:t>
      </w:r>
    </w:p>
    <w:p w:rsidR="00795346" w:rsidRPr="00017DC9" w:rsidRDefault="00795346" w:rsidP="00012EE6">
      <w:pPr>
        <w:jc w:val="both"/>
        <w:rPr>
          <w:rFonts w:ascii="Times New Roman" w:hAnsi="Times New Roman" w:cs="Times New Roman"/>
          <w:b/>
          <w:sz w:val="24"/>
          <w:szCs w:val="24"/>
          <w:vertAlign w:val="subscript"/>
        </w:rPr>
      </w:pPr>
      <w:r w:rsidRPr="00017DC9">
        <w:rPr>
          <w:rFonts w:ascii="Times New Roman" w:hAnsi="Times New Roman" w:cs="Times New Roman"/>
          <w:b/>
          <w:sz w:val="24"/>
          <w:szCs w:val="24"/>
        </w:rPr>
        <w:t xml:space="preserve">                       </w:t>
      </w:r>
      <w:r w:rsidRPr="00017DC9">
        <w:rPr>
          <w:rFonts w:ascii="Times New Roman" w:hAnsi="Times New Roman" w:cs="Times New Roman"/>
          <w:b/>
          <w:sz w:val="24"/>
          <w:szCs w:val="24"/>
        </w:rPr>
        <w:t>CA</w:t>
      </w:r>
      <w:r w:rsidR="00017DC9">
        <w:rPr>
          <w:rFonts w:ascii="Times New Roman" w:hAnsi="Times New Roman" w:cs="Times New Roman"/>
          <w:b/>
          <w:sz w:val="24"/>
          <w:szCs w:val="24"/>
        </w:rPr>
        <w:t xml:space="preserve"> </w:t>
      </w:r>
      <w:r w:rsidR="00017DC9">
        <w:rPr>
          <w:rFonts w:ascii="Times New Roman" w:hAnsi="Times New Roman" w:cs="Times New Roman"/>
          <w:b/>
          <w:sz w:val="24"/>
          <w:szCs w:val="24"/>
          <w:vertAlign w:val="subscript"/>
        </w:rPr>
        <w:t>G</w:t>
      </w:r>
      <w:r w:rsidRPr="00017DC9">
        <w:rPr>
          <w:rFonts w:ascii="Times New Roman" w:hAnsi="Times New Roman" w:cs="Times New Roman"/>
          <w:b/>
          <w:sz w:val="24"/>
          <w:szCs w:val="24"/>
          <w:vertAlign w:val="subscript"/>
        </w:rPr>
        <w:t>lobal</w:t>
      </w:r>
    </w:p>
    <w:p w:rsidR="00795346" w:rsidRPr="00017DC9" w:rsidRDefault="00795346" w:rsidP="00012EE6">
      <w:pPr>
        <w:jc w:val="both"/>
        <w:rPr>
          <w:rFonts w:ascii="Times New Roman" w:hAnsi="Times New Roman" w:cs="Times New Roman"/>
          <w:b/>
          <w:sz w:val="24"/>
          <w:szCs w:val="24"/>
        </w:rPr>
      </w:pPr>
      <w:r w:rsidRPr="00017DC9">
        <w:rPr>
          <w:rFonts w:ascii="Times New Roman" w:hAnsi="Times New Roman" w:cs="Times New Roman"/>
          <w:b/>
          <w:sz w:val="24"/>
          <w:szCs w:val="24"/>
        </w:rPr>
        <w:t xml:space="preserve">Bénéfice brut = </w:t>
      </w:r>
      <w:r w:rsidRPr="00017DC9">
        <w:rPr>
          <w:rFonts w:ascii="Times New Roman" w:hAnsi="Times New Roman" w:cs="Times New Roman"/>
          <w:b/>
          <w:sz w:val="24"/>
          <w:szCs w:val="24"/>
        </w:rPr>
        <w:t>CA</w:t>
      </w:r>
      <w:r w:rsidR="00017DC9">
        <w:rPr>
          <w:rFonts w:ascii="Times New Roman" w:hAnsi="Times New Roman" w:cs="Times New Roman"/>
          <w:b/>
          <w:sz w:val="24"/>
          <w:szCs w:val="24"/>
          <w:vertAlign w:val="subscript"/>
        </w:rPr>
        <w:t xml:space="preserve"> G</w:t>
      </w:r>
      <w:r w:rsidRPr="00017DC9">
        <w:rPr>
          <w:rFonts w:ascii="Times New Roman" w:hAnsi="Times New Roman" w:cs="Times New Roman"/>
          <w:b/>
          <w:sz w:val="24"/>
          <w:szCs w:val="24"/>
          <w:vertAlign w:val="subscript"/>
        </w:rPr>
        <w:t xml:space="preserve">lobal </w:t>
      </w:r>
      <w:r w:rsidRPr="00017DC9">
        <w:rPr>
          <w:rFonts w:ascii="Times New Roman" w:hAnsi="Times New Roman" w:cs="Times New Roman"/>
          <w:b/>
          <w:sz w:val="24"/>
          <w:szCs w:val="24"/>
        </w:rPr>
        <w:t>– Coût de production</w:t>
      </w:r>
      <w:r w:rsidRPr="00017DC9">
        <w:rPr>
          <w:rFonts w:ascii="Times New Roman" w:hAnsi="Times New Roman" w:cs="Times New Roman"/>
          <w:b/>
          <w:sz w:val="24"/>
          <w:szCs w:val="24"/>
        </w:rPr>
        <w:t xml:space="preserve"> </w:t>
      </w:r>
    </w:p>
    <w:p w:rsidR="00795346" w:rsidRDefault="00795346" w:rsidP="00012EE6">
      <w:pPr>
        <w:jc w:val="both"/>
        <w:rPr>
          <w:rFonts w:ascii="Times New Roman" w:hAnsi="Times New Roman" w:cs="Times New Roman"/>
          <w:sz w:val="24"/>
          <w:szCs w:val="24"/>
        </w:rPr>
      </w:pPr>
      <w:r>
        <w:rPr>
          <w:rFonts w:ascii="Times New Roman" w:hAnsi="Times New Roman" w:cs="Times New Roman"/>
          <w:sz w:val="24"/>
          <w:szCs w:val="24"/>
        </w:rPr>
        <w:t>Après la prise en compte de l’impayé par l’entreprise, l’impayé réduit le TMB</w:t>
      </w:r>
      <w:r w:rsidR="00017DC9">
        <w:rPr>
          <w:rFonts w:ascii="Times New Roman" w:hAnsi="Times New Roman" w:cs="Times New Roman"/>
          <w:sz w:val="24"/>
          <w:szCs w:val="24"/>
        </w:rPr>
        <w:t> :</w:t>
      </w:r>
    </w:p>
    <w:p w:rsidR="00017DC9" w:rsidRPr="00017DC9" w:rsidRDefault="00017DC9" w:rsidP="00017DC9">
      <w:pPr>
        <w:jc w:val="both"/>
        <w:rPr>
          <w:rFonts w:ascii="Times New Roman" w:hAnsi="Times New Roman" w:cs="Times New Roman"/>
          <w:b/>
          <w:sz w:val="24"/>
          <w:szCs w:val="24"/>
        </w:rPr>
      </w:pPr>
      <w:r w:rsidRPr="00017DC9">
        <w:rPr>
          <w:rFonts w:ascii="Times New Roman" w:hAnsi="Times New Roman" w:cs="Times New Roman"/>
          <w:b/>
          <w:noProof/>
          <w:sz w:val="24"/>
          <w:szCs w:val="24"/>
          <w:lang w:eastAsia="fr-FR"/>
        </w:rPr>
        <mc:AlternateContent>
          <mc:Choice Requires="wps">
            <w:drawing>
              <wp:anchor distT="0" distB="0" distL="114300" distR="114300" simplePos="0" relativeHeight="251665408" behindDoc="0" locked="0" layoutInCell="1" allowOverlap="1" wp14:anchorId="44ABE076" wp14:editId="10CEDE72">
                <wp:simplePos x="0" y="0"/>
                <wp:positionH relativeFrom="column">
                  <wp:posOffset>507586</wp:posOffset>
                </wp:positionH>
                <wp:positionV relativeFrom="paragraph">
                  <wp:posOffset>276584</wp:posOffset>
                </wp:positionV>
                <wp:extent cx="1979543" cy="0"/>
                <wp:effectExtent l="0" t="0" r="20955" b="19050"/>
                <wp:wrapNone/>
                <wp:docPr id="4" name="Connecteur droit 4"/>
                <wp:cNvGraphicFramePr/>
                <a:graphic xmlns:a="http://schemas.openxmlformats.org/drawingml/2006/main">
                  <a:graphicData uri="http://schemas.microsoft.com/office/word/2010/wordprocessingShape">
                    <wps:wsp>
                      <wps:cNvCnPr/>
                      <wps:spPr>
                        <a:xfrm>
                          <a:off x="0" y="0"/>
                          <a:ext cx="1979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5pt,21.8pt" to="195.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" strokecolor="#4579b8 [3044]"/>
            </w:pict>
          </mc:Fallback>
        </mc:AlternateContent>
      </w:r>
      <w:r w:rsidRPr="00017DC9">
        <w:rPr>
          <w:rFonts w:ascii="Times New Roman" w:hAnsi="Times New Roman" w:cs="Times New Roman"/>
          <w:b/>
          <w:sz w:val="24"/>
          <w:szCs w:val="24"/>
        </w:rPr>
        <w:t xml:space="preserve">TMB = </w:t>
      </w:r>
      <w:proofErr w:type="gramStart"/>
      <w:r w:rsidRPr="00017DC9">
        <w:rPr>
          <w:rFonts w:ascii="Times New Roman" w:hAnsi="Times New Roman" w:cs="Times New Roman"/>
          <w:b/>
          <w:sz w:val="24"/>
          <w:szCs w:val="24"/>
        </w:rPr>
        <w:t>( CA</w:t>
      </w:r>
      <w:proofErr w:type="gramEnd"/>
      <w:r>
        <w:rPr>
          <w:rFonts w:ascii="Times New Roman" w:hAnsi="Times New Roman" w:cs="Times New Roman"/>
          <w:b/>
          <w:sz w:val="24"/>
          <w:szCs w:val="24"/>
        </w:rPr>
        <w:t xml:space="preserve"> </w:t>
      </w:r>
      <w:r>
        <w:rPr>
          <w:rFonts w:ascii="Times New Roman" w:hAnsi="Times New Roman" w:cs="Times New Roman"/>
          <w:b/>
          <w:sz w:val="24"/>
          <w:szCs w:val="24"/>
          <w:vertAlign w:val="subscript"/>
        </w:rPr>
        <w:t>Effectif</w:t>
      </w:r>
      <w:r w:rsidRPr="00017DC9">
        <w:rPr>
          <w:rFonts w:ascii="Times New Roman" w:hAnsi="Times New Roman" w:cs="Times New Roman"/>
          <w:b/>
          <w:sz w:val="24"/>
          <w:szCs w:val="24"/>
          <w:vertAlign w:val="subscript"/>
        </w:rPr>
        <w:t xml:space="preserve"> </w:t>
      </w:r>
      <w:r w:rsidRPr="00017DC9">
        <w:rPr>
          <w:rFonts w:ascii="Times New Roman" w:hAnsi="Times New Roman" w:cs="Times New Roman"/>
          <w:b/>
          <w:sz w:val="24"/>
          <w:szCs w:val="24"/>
        </w:rPr>
        <w:t>– Coût de production )  ×</w:t>
      </w:r>
      <w:r w:rsidRPr="00017DC9">
        <w:rPr>
          <w:rFonts w:ascii="Times New Roman" w:hAnsi="Times New Roman" w:cs="Times New Roman"/>
          <w:b/>
          <w:sz w:val="24"/>
          <w:szCs w:val="24"/>
        </w:rPr>
        <w:t xml:space="preserve"> 100 </w:t>
      </w:r>
    </w:p>
    <w:p w:rsidR="00017DC9" w:rsidRPr="00017DC9" w:rsidRDefault="00017DC9" w:rsidP="00017DC9">
      <w:pPr>
        <w:jc w:val="both"/>
        <w:rPr>
          <w:rFonts w:ascii="Times New Roman" w:hAnsi="Times New Roman" w:cs="Times New Roman"/>
          <w:b/>
          <w:sz w:val="24"/>
          <w:szCs w:val="24"/>
          <w:vertAlign w:val="subscript"/>
        </w:rPr>
      </w:pPr>
      <w:r w:rsidRPr="00017DC9">
        <w:rPr>
          <w:rFonts w:ascii="Times New Roman" w:hAnsi="Times New Roman" w:cs="Times New Roman"/>
          <w:b/>
          <w:sz w:val="24"/>
          <w:szCs w:val="24"/>
        </w:rPr>
        <w:t xml:space="preserve">                       CA</w:t>
      </w:r>
      <w:r>
        <w:rPr>
          <w:rFonts w:ascii="Times New Roman" w:hAnsi="Times New Roman" w:cs="Times New Roman"/>
          <w:b/>
          <w:sz w:val="24"/>
          <w:szCs w:val="24"/>
          <w:vertAlign w:val="subscript"/>
        </w:rPr>
        <w:t xml:space="preserve"> Effectif</w:t>
      </w:r>
    </w:p>
    <w:p w:rsidR="00017DC9" w:rsidRPr="00017DC9" w:rsidRDefault="00017DC9" w:rsidP="00017DC9">
      <w:pPr>
        <w:jc w:val="both"/>
        <w:rPr>
          <w:rFonts w:ascii="Times New Roman" w:hAnsi="Times New Roman" w:cs="Times New Roman"/>
          <w:b/>
          <w:sz w:val="24"/>
          <w:szCs w:val="24"/>
        </w:rPr>
      </w:pPr>
      <w:r w:rsidRPr="00017DC9">
        <w:rPr>
          <w:rFonts w:ascii="Times New Roman" w:hAnsi="Times New Roman" w:cs="Times New Roman"/>
          <w:b/>
          <w:sz w:val="24"/>
          <w:szCs w:val="24"/>
        </w:rPr>
        <w:t>CA</w:t>
      </w:r>
      <w:r>
        <w:rPr>
          <w:rFonts w:ascii="Times New Roman" w:hAnsi="Times New Roman" w:cs="Times New Roman"/>
          <w:b/>
          <w:sz w:val="24"/>
          <w:szCs w:val="24"/>
        </w:rPr>
        <w:t xml:space="preserve"> </w:t>
      </w:r>
      <w:r>
        <w:rPr>
          <w:rFonts w:ascii="Times New Roman" w:hAnsi="Times New Roman" w:cs="Times New Roman"/>
          <w:b/>
          <w:sz w:val="24"/>
          <w:szCs w:val="24"/>
          <w:vertAlign w:val="subscript"/>
        </w:rPr>
        <w:t>Effectif</w:t>
      </w:r>
      <w:r>
        <w:rPr>
          <w:rFonts w:ascii="Times New Roman" w:hAnsi="Times New Roman" w:cs="Times New Roman"/>
          <w:b/>
          <w:sz w:val="24"/>
          <w:szCs w:val="24"/>
        </w:rPr>
        <w:t xml:space="preserve"> = </w:t>
      </w:r>
      <w:r w:rsidRPr="00017DC9">
        <w:rPr>
          <w:rFonts w:ascii="Times New Roman" w:hAnsi="Times New Roman" w:cs="Times New Roman"/>
          <w:b/>
          <w:sz w:val="24"/>
          <w:szCs w:val="24"/>
        </w:rPr>
        <w:t>CA</w:t>
      </w:r>
      <w:r>
        <w:rPr>
          <w:rFonts w:ascii="Times New Roman" w:hAnsi="Times New Roman" w:cs="Times New Roman"/>
          <w:b/>
          <w:sz w:val="24"/>
          <w:szCs w:val="24"/>
        </w:rPr>
        <w:t xml:space="preserve"> </w:t>
      </w:r>
      <w:r>
        <w:rPr>
          <w:rFonts w:ascii="Times New Roman" w:hAnsi="Times New Roman" w:cs="Times New Roman"/>
          <w:b/>
          <w:sz w:val="24"/>
          <w:szCs w:val="24"/>
          <w:vertAlign w:val="subscript"/>
        </w:rPr>
        <w:t>G</w:t>
      </w:r>
      <w:r w:rsidRPr="00017DC9">
        <w:rPr>
          <w:rFonts w:ascii="Times New Roman" w:hAnsi="Times New Roman" w:cs="Times New Roman"/>
          <w:b/>
          <w:sz w:val="24"/>
          <w:szCs w:val="24"/>
          <w:vertAlign w:val="subscript"/>
        </w:rPr>
        <w:t xml:space="preserve">lobal </w:t>
      </w:r>
      <w:r w:rsidRPr="00017DC9">
        <w:rPr>
          <w:rFonts w:ascii="Times New Roman" w:hAnsi="Times New Roman" w:cs="Times New Roman"/>
          <w:b/>
          <w:sz w:val="24"/>
          <w:szCs w:val="24"/>
        </w:rPr>
        <w:t>–</w:t>
      </w:r>
      <w:r>
        <w:rPr>
          <w:rFonts w:ascii="Times New Roman" w:hAnsi="Times New Roman" w:cs="Times New Roman"/>
          <w:b/>
          <w:sz w:val="24"/>
          <w:szCs w:val="24"/>
        </w:rPr>
        <w:t xml:space="preserve"> Montant de l’impayé</w:t>
      </w:r>
    </w:p>
    <w:p w:rsidR="00017DC9" w:rsidRDefault="00017DC9" w:rsidP="00017DC9">
      <w:pPr>
        <w:jc w:val="both"/>
        <w:rPr>
          <w:rFonts w:ascii="Times New Roman" w:hAnsi="Times New Roman" w:cs="Times New Roman"/>
          <w:sz w:val="24"/>
          <w:szCs w:val="24"/>
        </w:rPr>
      </w:pPr>
      <w:r>
        <w:rPr>
          <w:rFonts w:ascii="Times New Roman" w:hAnsi="Times New Roman" w:cs="Times New Roman"/>
          <w:b/>
          <w:sz w:val="24"/>
          <w:szCs w:val="24"/>
        </w:rPr>
        <w:t>Bénéfice net</w:t>
      </w:r>
      <w:r w:rsidRPr="00017DC9">
        <w:rPr>
          <w:rFonts w:ascii="Times New Roman" w:hAnsi="Times New Roman" w:cs="Times New Roman"/>
          <w:b/>
          <w:sz w:val="24"/>
          <w:szCs w:val="24"/>
        </w:rPr>
        <w:t xml:space="preserve"> = CA</w:t>
      </w:r>
      <w:r>
        <w:rPr>
          <w:rFonts w:ascii="Times New Roman" w:hAnsi="Times New Roman" w:cs="Times New Roman"/>
          <w:b/>
          <w:sz w:val="24"/>
          <w:szCs w:val="24"/>
          <w:vertAlign w:val="subscript"/>
        </w:rPr>
        <w:t xml:space="preserve"> Effectif </w:t>
      </w:r>
      <w:r w:rsidRPr="00017DC9">
        <w:rPr>
          <w:rFonts w:ascii="Times New Roman" w:hAnsi="Times New Roman" w:cs="Times New Roman"/>
          <w:b/>
          <w:sz w:val="24"/>
          <w:szCs w:val="24"/>
          <w:vertAlign w:val="subscript"/>
        </w:rPr>
        <w:t xml:space="preserve"> </w:t>
      </w:r>
      <w:r w:rsidRPr="00017DC9">
        <w:rPr>
          <w:rFonts w:ascii="Times New Roman" w:hAnsi="Times New Roman" w:cs="Times New Roman"/>
          <w:b/>
          <w:sz w:val="24"/>
          <w:szCs w:val="24"/>
        </w:rPr>
        <w:t>– Coût de production</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17DC9" w:rsidRDefault="00017DC9" w:rsidP="00017DC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Ou Bénéfice net = </w:t>
      </w:r>
      <w:r w:rsidRPr="00017DC9">
        <w:rPr>
          <w:rFonts w:ascii="Times New Roman" w:hAnsi="Times New Roman" w:cs="Times New Roman"/>
          <w:b/>
          <w:sz w:val="24"/>
          <w:szCs w:val="24"/>
        </w:rPr>
        <w:t>CA</w:t>
      </w:r>
      <w:r>
        <w:rPr>
          <w:rFonts w:ascii="Times New Roman" w:hAnsi="Times New Roman" w:cs="Times New Roman"/>
          <w:b/>
          <w:sz w:val="24"/>
          <w:szCs w:val="24"/>
        </w:rPr>
        <w:t xml:space="preserve"> </w:t>
      </w:r>
      <w:r>
        <w:rPr>
          <w:rFonts w:ascii="Times New Roman" w:hAnsi="Times New Roman" w:cs="Times New Roman"/>
          <w:b/>
          <w:sz w:val="24"/>
          <w:szCs w:val="24"/>
          <w:vertAlign w:val="subscript"/>
        </w:rPr>
        <w:t>G</w:t>
      </w:r>
      <w:r w:rsidRPr="00017DC9">
        <w:rPr>
          <w:rFonts w:ascii="Times New Roman" w:hAnsi="Times New Roman" w:cs="Times New Roman"/>
          <w:b/>
          <w:sz w:val="24"/>
          <w:szCs w:val="24"/>
          <w:vertAlign w:val="subscript"/>
        </w:rPr>
        <w:t xml:space="preserve">lobal </w:t>
      </w:r>
      <w:r w:rsidRPr="00017DC9">
        <w:rPr>
          <w:rFonts w:ascii="Times New Roman" w:hAnsi="Times New Roman" w:cs="Times New Roman"/>
          <w:b/>
          <w:sz w:val="24"/>
          <w:szCs w:val="24"/>
        </w:rPr>
        <w:t>– Coût de production</w:t>
      </w:r>
      <w:r>
        <w:rPr>
          <w:rFonts w:ascii="Times New Roman" w:hAnsi="Times New Roman" w:cs="Times New Roman"/>
          <w:b/>
          <w:sz w:val="24"/>
          <w:szCs w:val="24"/>
        </w:rPr>
        <w:t xml:space="preserve"> – Montant de l’impayé</w:t>
      </w:r>
    </w:p>
    <w:p w:rsidR="00017DC9" w:rsidRDefault="00017DC9" w:rsidP="00012EE6">
      <w:pPr>
        <w:jc w:val="both"/>
        <w:rPr>
          <w:rFonts w:ascii="Times New Roman" w:hAnsi="Times New Roman" w:cs="Times New Roman"/>
          <w:sz w:val="24"/>
          <w:szCs w:val="24"/>
        </w:rPr>
      </w:pPr>
      <w:r w:rsidRPr="002A4ED0">
        <w:rPr>
          <w:rFonts w:ascii="Times New Roman" w:hAnsi="Times New Roman" w:cs="Times New Roman"/>
          <w:b/>
          <w:sz w:val="24"/>
          <w:szCs w:val="24"/>
          <w:u w:val="single"/>
        </w:rPr>
        <w:t xml:space="preserve">Assurance-crédit : </w:t>
      </w:r>
      <w:r>
        <w:rPr>
          <w:rFonts w:ascii="Times New Roman" w:hAnsi="Times New Roman" w:cs="Times New Roman"/>
          <w:sz w:val="24"/>
          <w:szCs w:val="24"/>
        </w:rPr>
        <w:t>C’est un contrat par lequel une compagnie d’assurance s’engage à indemniser une entreprise en cas de défaillance de ses clients à honorer leurs paiements pour des biens ou des services fournis. Elle protège ainsi l’entreprise contre les pertes financières liées à l’insolvabilité ou aux retards de paiement des débiteurs.</w:t>
      </w:r>
    </w:p>
    <w:p w:rsidR="00C87A64" w:rsidRPr="002A4ED0" w:rsidRDefault="00C87A64" w:rsidP="00C87A64">
      <w:pPr>
        <w:jc w:val="both"/>
        <w:rPr>
          <w:rFonts w:ascii="Times New Roman" w:hAnsi="Times New Roman" w:cs="Times New Roman"/>
          <w:b/>
          <w:sz w:val="24"/>
          <w:szCs w:val="24"/>
          <w:u w:val="single"/>
        </w:rPr>
      </w:pPr>
      <w:r w:rsidRPr="002A4ED0">
        <w:rPr>
          <w:rFonts w:ascii="Times New Roman" w:hAnsi="Times New Roman" w:cs="Times New Roman"/>
          <w:b/>
          <w:sz w:val="24"/>
          <w:szCs w:val="24"/>
          <w:u w:val="single"/>
        </w:rPr>
        <w:t>Les éléments fondamentaux de l’assurance-crédit :</w:t>
      </w:r>
    </w:p>
    <w:p w:rsidR="00C87A64" w:rsidRDefault="00C87A64" w:rsidP="00C87A64">
      <w:pPr>
        <w:pStyle w:val="Paragraphedeliste"/>
        <w:numPr>
          <w:ilvl w:val="0"/>
          <w:numId w:val="3"/>
        </w:numPr>
        <w:jc w:val="both"/>
        <w:rPr>
          <w:rFonts w:ascii="Times New Roman" w:hAnsi="Times New Roman" w:cs="Times New Roman"/>
          <w:b/>
          <w:sz w:val="24"/>
          <w:szCs w:val="24"/>
        </w:rPr>
      </w:pPr>
      <w:r w:rsidRPr="00C87A64">
        <w:rPr>
          <w:rFonts w:ascii="Times New Roman" w:hAnsi="Times New Roman" w:cs="Times New Roman"/>
          <w:b/>
          <w:sz w:val="24"/>
          <w:szCs w:val="24"/>
        </w:rPr>
        <w:t>Le chiffre d’affaires couvert</w:t>
      </w:r>
      <w:r>
        <w:rPr>
          <w:rFonts w:ascii="Times New Roman" w:hAnsi="Times New Roman" w:cs="Times New Roman"/>
          <w:b/>
          <w:sz w:val="24"/>
          <w:szCs w:val="24"/>
        </w:rPr>
        <w:t xml:space="preserve"> : </w:t>
      </w:r>
      <w:r>
        <w:rPr>
          <w:rFonts w:ascii="Times New Roman" w:hAnsi="Times New Roman" w:cs="Times New Roman"/>
          <w:sz w:val="24"/>
          <w:szCs w:val="24"/>
        </w:rPr>
        <w:t>C’est le montant ou le volume des créances couvertes</w:t>
      </w:r>
      <w:r>
        <w:rPr>
          <w:rFonts w:ascii="Times New Roman" w:hAnsi="Times New Roman" w:cs="Times New Roman"/>
          <w:b/>
          <w:sz w:val="24"/>
          <w:szCs w:val="24"/>
        </w:rPr>
        <w:t>.</w:t>
      </w:r>
    </w:p>
    <w:p w:rsidR="00C87A64" w:rsidRPr="00C87A64" w:rsidRDefault="00C87A64" w:rsidP="00C87A64">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Le risque couvert (Montant de l’impayé) : </w:t>
      </w:r>
      <w:r>
        <w:rPr>
          <w:rFonts w:ascii="Times New Roman" w:hAnsi="Times New Roman" w:cs="Times New Roman"/>
          <w:sz w:val="24"/>
          <w:szCs w:val="24"/>
        </w:rPr>
        <w:t>C’est le montant des créances risquées ou impayées, déterminé en fonction du chiffre d’affaires.</w:t>
      </w:r>
    </w:p>
    <w:p w:rsidR="008E12B3" w:rsidRPr="00C87A64" w:rsidRDefault="00C87A64" w:rsidP="00C87A64">
      <w:pPr>
        <w:jc w:val="both"/>
        <w:rPr>
          <w:rFonts w:ascii="Times New Roman" w:hAnsi="Times New Roman" w:cs="Times New Roman"/>
          <w:b/>
          <w:sz w:val="24"/>
          <w:szCs w:val="24"/>
        </w:rPr>
      </w:pPr>
      <w:r>
        <w:rPr>
          <w:rFonts w:ascii="Times New Roman" w:hAnsi="Times New Roman" w:cs="Times New Roman"/>
          <w:b/>
          <w:sz w:val="24"/>
          <w:szCs w:val="24"/>
        </w:rPr>
        <w:t xml:space="preserve">Le montant de l’impayé : </w:t>
      </w:r>
      <w:r w:rsidR="008E12B3">
        <w:rPr>
          <w:rFonts w:ascii="Times New Roman" w:hAnsi="Times New Roman" w:cs="Times New Roman"/>
          <w:b/>
          <w:sz w:val="24"/>
          <w:szCs w:val="24"/>
        </w:rPr>
        <w:t xml:space="preserve">%  du CA </w:t>
      </w:r>
    </w:p>
    <w:p w:rsidR="00C87A64" w:rsidRPr="008E12B3" w:rsidRDefault="00C87A64" w:rsidP="00C87A64">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b/>
          <w:sz w:val="24"/>
          <w:szCs w:val="24"/>
        </w:rPr>
        <w:t>La quotité garantie :</w:t>
      </w:r>
      <w:r>
        <w:rPr>
          <w:rFonts w:ascii="Times New Roman" w:hAnsi="Times New Roman" w:cs="Times New Roman"/>
          <w:sz w:val="24"/>
          <w:szCs w:val="24"/>
        </w:rPr>
        <w:t xml:space="preserve"> C’est la part du sinistre donnant lieu à indemnisation, le complément reste à la charge de l’exportateur.</w:t>
      </w:r>
    </w:p>
    <w:p w:rsidR="008E12B3" w:rsidRPr="008E12B3" w:rsidRDefault="008E12B3" w:rsidP="008E12B3">
      <w:pPr>
        <w:jc w:val="both"/>
        <w:rPr>
          <w:rFonts w:ascii="Times New Roman" w:hAnsi="Times New Roman" w:cs="Times New Roman"/>
          <w:b/>
          <w:sz w:val="24"/>
          <w:szCs w:val="24"/>
        </w:rPr>
      </w:pPr>
      <w:r w:rsidRPr="008E12B3">
        <w:rPr>
          <w:rFonts w:ascii="Times New Roman" w:hAnsi="Times New Roman" w:cs="Times New Roman"/>
          <w:b/>
          <w:sz w:val="24"/>
          <w:szCs w:val="24"/>
        </w:rPr>
        <w:t>Montant couvert </w:t>
      </w:r>
      <w:r>
        <w:rPr>
          <w:rFonts w:ascii="Times New Roman" w:hAnsi="Times New Roman" w:cs="Times New Roman"/>
          <w:b/>
          <w:sz w:val="24"/>
          <w:szCs w:val="24"/>
        </w:rPr>
        <w:t xml:space="preserve">(la quotité garantie) </w:t>
      </w:r>
      <w:r w:rsidRPr="008E12B3">
        <w:rPr>
          <w:rFonts w:ascii="Times New Roman" w:hAnsi="Times New Roman" w:cs="Times New Roman"/>
          <w:b/>
          <w:sz w:val="24"/>
          <w:szCs w:val="24"/>
        </w:rPr>
        <w:t xml:space="preserve">: % du montant de l’impayé estimé </w:t>
      </w:r>
    </w:p>
    <w:p w:rsidR="008E12B3" w:rsidRDefault="008E12B3" w:rsidP="008E12B3">
      <w:pPr>
        <w:jc w:val="both"/>
        <w:rPr>
          <w:rFonts w:ascii="Times New Roman" w:hAnsi="Times New Roman" w:cs="Times New Roman"/>
          <w:b/>
          <w:sz w:val="24"/>
          <w:szCs w:val="24"/>
        </w:rPr>
      </w:pPr>
      <w:r w:rsidRPr="008E12B3">
        <w:rPr>
          <w:rFonts w:ascii="Times New Roman" w:hAnsi="Times New Roman" w:cs="Times New Roman"/>
          <w:b/>
          <w:sz w:val="24"/>
          <w:szCs w:val="24"/>
        </w:rPr>
        <w:t>La franchise (Le reste à la charge de l’exportateur) = CA – Montant couvert</w:t>
      </w:r>
    </w:p>
    <w:p w:rsidR="008E12B3" w:rsidRPr="008E12B3" w:rsidRDefault="008E12B3" w:rsidP="008E12B3">
      <w:pPr>
        <w:jc w:val="both"/>
        <w:rPr>
          <w:rFonts w:ascii="Times New Roman" w:hAnsi="Times New Roman" w:cs="Times New Roman"/>
          <w:b/>
          <w:sz w:val="24"/>
          <w:szCs w:val="24"/>
        </w:rPr>
      </w:pPr>
      <w:r>
        <w:rPr>
          <w:rFonts w:ascii="Times New Roman" w:hAnsi="Times New Roman" w:cs="Times New Roman"/>
          <w:b/>
          <w:sz w:val="24"/>
          <w:szCs w:val="24"/>
        </w:rPr>
        <w:t>Le montant indemnisé = Montant couver – La prime d’assurance</w:t>
      </w:r>
    </w:p>
    <w:p w:rsidR="00C87A64" w:rsidRDefault="00C87A64" w:rsidP="00C87A64">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b/>
          <w:sz w:val="24"/>
          <w:szCs w:val="24"/>
        </w:rPr>
        <w:t>Les exclusions générales et particulières</w:t>
      </w:r>
    </w:p>
    <w:p w:rsidR="00C87A64" w:rsidRPr="008E12B3" w:rsidRDefault="00C87A64" w:rsidP="00C87A64">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b/>
          <w:sz w:val="24"/>
          <w:szCs w:val="24"/>
        </w:rPr>
        <w:t>La prime d’assurance :</w:t>
      </w:r>
      <w:r w:rsidR="008E12B3">
        <w:rPr>
          <w:rFonts w:ascii="Times New Roman" w:hAnsi="Times New Roman" w:cs="Times New Roman"/>
          <w:b/>
          <w:sz w:val="24"/>
          <w:szCs w:val="24"/>
        </w:rPr>
        <w:t xml:space="preserve"> </w:t>
      </w:r>
      <w:r w:rsidR="008E12B3" w:rsidRPr="008E12B3">
        <w:rPr>
          <w:rFonts w:ascii="Times New Roman" w:hAnsi="Times New Roman" w:cs="Times New Roman"/>
          <w:sz w:val="24"/>
          <w:szCs w:val="24"/>
        </w:rPr>
        <w:t>C’est le coût lié à l’assurance-crédit</w:t>
      </w:r>
    </w:p>
    <w:p w:rsidR="008E12B3" w:rsidRDefault="008E12B3" w:rsidP="008E12B3">
      <w:pPr>
        <w:jc w:val="both"/>
        <w:rPr>
          <w:rFonts w:ascii="Times New Roman" w:hAnsi="Times New Roman" w:cs="Times New Roman"/>
          <w:b/>
          <w:sz w:val="24"/>
          <w:szCs w:val="24"/>
        </w:rPr>
      </w:pPr>
      <w:r>
        <w:rPr>
          <w:rFonts w:ascii="Times New Roman" w:hAnsi="Times New Roman" w:cs="Times New Roman"/>
          <w:b/>
          <w:sz w:val="24"/>
          <w:szCs w:val="24"/>
        </w:rPr>
        <w:t>La prime d’assurance</w:t>
      </w:r>
      <w:r>
        <w:rPr>
          <w:rFonts w:ascii="Times New Roman" w:hAnsi="Times New Roman" w:cs="Times New Roman"/>
          <w:b/>
          <w:sz w:val="24"/>
          <w:szCs w:val="24"/>
        </w:rPr>
        <w:t>-crédit = 1 à 3</w:t>
      </w:r>
      <w:r w:rsidR="000C7920">
        <w:rPr>
          <w:rFonts w:ascii="Times New Roman" w:hAnsi="Times New Roman" w:cs="Times New Roman"/>
          <w:b/>
          <w:sz w:val="24"/>
          <w:szCs w:val="24"/>
        </w:rPr>
        <w:t xml:space="preserve"> %</w:t>
      </w:r>
      <w:r>
        <w:rPr>
          <w:rFonts w:ascii="Times New Roman" w:hAnsi="Times New Roman" w:cs="Times New Roman"/>
          <w:b/>
          <w:sz w:val="24"/>
          <w:szCs w:val="24"/>
        </w:rPr>
        <w:t xml:space="preserve"> du montant couvert</w:t>
      </w:r>
      <w:r>
        <w:rPr>
          <w:rFonts w:ascii="Times New Roman" w:hAnsi="Times New Roman" w:cs="Times New Roman"/>
          <w:b/>
          <w:sz w:val="24"/>
          <w:szCs w:val="24"/>
        </w:rPr>
        <w:t> </w:t>
      </w:r>
    </w:p>
    <w:p w:rsidR="008E12B3" w:rsidRDefault="008E12B3" w:rsidP="008E12B3">
      <w:pPr>
        <w:jc w:val="both"/>
        <w:rPr>
          <w:rFonts w:ascii="Times New Roman" w:hAnsi="Times New Roman" w:cs="Times New Roman"/>
          <w:b/>
          <w:sz w:val="24"/>
          <w:szCs w:val="24"/>
        </w:rPr>
      </w:pPr>
      <w:r>
        <w:rPr>
          <w:rFonts w:ascii="Times New Roman" w:hAnsi="Times New Roman" w:cs="Times New Roman"/>
          <w:b/>
          <w:sz w:val="24"/>
          <w:szCs w:val="24"/>
        </w:rPr>
        <w:t>Le coût total de la souscription à l’assurance-crédit = Prime + Frais fixes</w:t>
      </w:r>
    </w:p>
    <w:p w:rsidR="008E12B3" w:rsidRDefault="008E12B3" w:rsidP="008E12B3">
      <w:pPr>
        <w:jc w:val="both"/>
        <w:rPr>
          <w:rFonts w:ascii="Times New Roman" w:hAnsi="Times New Roman" w:cs="Times New Roman"/>
          <w:b/>
          <w:sz w:val="24"/>
          <w:szCs w:val="24"/>
        </w:rPr>
      </w:pPr>
      <w:r>
        <w:rPr>
          <w:rFonts w:ascii="Times New Roman" w:hAnsi="Times New Roman" w:cs="Times New Roman"/>
          <w:b/>
          <w:sz w:val="24"/>
          <w:szCs w:val="24"/>
        </w:rPr>
        <w:t xml:space="preserve">La perte nette de l’exportateur = Franchise +  </w:t>
      </w:r>
      <w:r>
        <w:rPr>
          <w:rFonts w:ascii="Times New Roman" w:hAnsi="Times New Roman" w:cs="Times New Roman"/>
          <w:b/>
          <w:sz w:val="24"/>
          <w:szCs w:val="24"/>
        </w:rPr>
        <w:t>Le coût total de la souscription à l’assurance-crédit</w:t>
      </w:r>
    </w:p>
    <w:p w:rsidR="008E12B3" w:rsidRDefault="000C7920" w:rsidP="008E12B3">
      <w:pPr>
        <w:jc w:val="both"/>
        <w:rPr>
          <w:rFonts w:ascii="Times New Roman" w:hAnsi="Times New Roman" w:cs="Times New Roman"/>
          <w:sz w:val="24"/>
          <w:szCs w:val="24"/>
        </w:rPr>
      </w:pPr>
      <w:r w:rsidRPr="002A4ED0">
        <w:rPr>
          <w:rFonts w:ascii="Times New Roman" w:hAnsi="Times New Roman" w:cs="Times New Roman"/>
          <w:b/>
          <w:sz w:val="24"/>
          <w:szCs w:val="24"/>
          <w:u w:val="single"/>
        </w:rPr>
        <w:t>L’affacturage :</w:t>
      </w:r>
      <w:r>
        <w:rPr>
          <w:rFonts w:ascii="Times New Roman" w:hAnsi="Times New Roman" w:cs="Times New Roman"/>
          <w:b/>
          <w:sz w:val="24"/>
          <w:szCs w:val="24"/>
        </w:rPr>
        <w:t xml:space="preserve"> </w:t>
      </w:r>
      <w:r w:rsidRPr="000C7920">
        <w:rPr>
          <w:rFonts w:ascii="Times New Roman" w:hAnsi="Times New Roman" w:cs="Times New Roman"/>
          <w:sz w:val="24"/>
          <w:szCs w:val="24"/>
        </w:rPr>
        <w:t>C’est le transfert des créances commerciales d’une entreprise à un organisme</w:t>
      </w:r>
      <w:r>
        <w:rPr>
          <w:rFonts w:ascii="Times New Roman" w:hAnsi="Times New Roman" w:cs="Times New Roman"/>
          <w:sz w:val="24"/>
          <w:szCs w:val="24"/>
        </w:rPr>
        <w:t xml:space="preserve"> financier (le Factor)</w:t>
      </w:r>
      <w:r w:rsidRPr="000C7920">
        <w:rPr>
          <w:rFonts w:ascii="Times New Roman" w:hAnsi="Times New Roman" w:cs="Times New Roman"/>
          <w:sz w:val="24"/>
          <w:szCs w:val="24"/>
        </w:rPr>
        <w:t xml:space="preserve"> qui se charge, contre rémunération, de leur recouvrement e</w:t>
      </w:r>
      <w:r>
        <w:rPr>
          <w:rFonts w:ascii="Times New Roman" w:hAnsi="Times New Roman" w:cs="Times New Roman"/>
          <w:sz w:val="24"/>
          <w:szCs w:val="24"/>
        </w:rPr>
        <w:t>n supportant les risques de non-</w:t>
      </w:r>
      <w:r w:rsidRPr="000C7920">
        <w:rPr>
          <w:rFonts w:ascii="Times New Roman" w:hAnsi="Times New Roman" w:cs="Times New Roman"/>
          <w:sz w:val="24"/>
          <w:szCs w:val="24"/>
        </w:rPr>
        <w:t xml:space="preserve">paiement. </w:t>
      </w:r>
      <w:r>
        <w:rPr>
          <w:rFonts w:ascii="Times New Roman" w:hAnsi="Times New Roman" w:cs="Times New Roman"/>
          <w:sz w:val="24"/>
          <w:szCs w:val="24"/>
        </w:rPr>
        <w:t>Dans le contrat d’affacturage :</w:t>
      </w:r>
    </w:p>
    <w:p w:rsidR="000C7920" w:rsidRDefault="000C7920" w:rsidP="000C7920">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L’entreprise vend ses créances au factor, en reçoit le paiement avant l’échéance initialement prévue, et dispose d’une partie de la trésorerie correspondante et n’est plus exposé au risque de crédit (technique de </w:t>
      </w:r>
      <w:proofErr w:type="spellStart"/>
      <w:r>
        <w:rPr>
          <w:rFonts w:ascii="Times New Roman" w:hAnsi="Times New Roman" w:cs="Times New Roman"/>
          <w:sz w:val="24"/>
          <w:szCs w:val="24"/>
        </w:rPr>
        <w:t>pré-financement</w:t>
      </w:r>
      <w:proofErr w:type="spellEnd"/>
      <w:r>
        <w:rPr>
          <w:rFonts w:ascii="Times New Roman" w:hAnsi="Times New Roman" w:cs="Times New Roman"/>
          <w:sz w:val="24"/>
          <w:szCs w:val="24"/>
        </w:rPr>
        <w:t xml:space="preserve"> des créances).</w:t>
      </w:r>
    </w:p>
    <w:p w:rsidR="000C7920" w:rsidRDefault="00B858A3" w:rsidP="000C7920">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Le factor assume la gestion du poste client correspondant, assure le recouvrement et garantit le paiement à l’échéance même en cas de défaillance momentanée ou permanente de l’acheteur étranger.</w:t>
      </w:r>
    </w:p>
    <w:p w:rsidR="00B858A3" w:rsidRDefault="00B858A3" w:rsidP="000C7920">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A la demande de l’exportateur, le factor règle, par anticipation, tout ou partie des créances transférées.</w:t>
      </w:r>
    </w:p>
    <w:p w:rsidR="00B858A3" w:rsidRDefault="00B858A3" w:rsidP="00B858A3">
      <w:pPr>
        <w:jc w:val="both"/>
        <w:rPr>
          <w:rFonts w:ascii="Times New Roman" w:hAnsi="Times New Roman" w:cs="Times New Roman"/>
          <w:sz w:val="24"/>
          <w:szCs w:val="24"/>
        </w:rPr>
      </w:pPr>
      <w:r>
        <w:rPr>
          <w:rFonts w:ascii="Times New Roman" w:hAnsi="Times New Roman" w:cs="Times New Roman"/>
          <w:sz w:val="24"/>
          <w:szCs w:val="24"/>
        </w:rPr>
        <w:t>L’affacturage est à la fois une technique de gestion de risque de crédit et une technique de financement.</w:t>
      </w:r>
    </w:p>
    <w:p w:rsidR="00B858A3" w:rsidRPr="002A4ED0" w:rsidRDefault="00B858A3" w:rsidP="00B858A3">
      <w:pPr>
        <w:jc w:val="both"/>
        <w:rPr>
          <w:rFonts w:ascii="Times New Roman" w:hAnsi="Times New Roman" w:cs="Times New Roman"/>
          <w:sz w:val="24"/>
          <w:szCs w:val="24"/>
          <w:u w:val="single"/>
        </w:rPr>
      </w:pPr>
      <w:r w:rsidRPr="002A4ED0">
        <w:rPr>
          <w:rFonts w:ascii="Times New Roman" w:hAnsi="Times New Roman" w:cs="Times New Roman"/>
          <w:b/>
          <w:sz w:val="24"/>
          <w:szCs w:val="24"/>
          <w:u w:val="single"/>
        </w:rPr>
        <w:lastRenderedPageBreak/>
        <w:t>Les éléments fondamentaux de l</w:t>
      </w:r>
      <w:r w:rsidR="002A4ED0">
        <w:rPr>
          <w:rFonts w:ascii="Times New Roman" w:hAnsi="Times New Roman" w:cs="Times New Roman"/>
          <w:b/>
          <w:sz w:val="24"/>
          <w:szCs w:val="24"/>
          <w:u w:val="single"/>
        </w:rPr>
        <w:t>’affacturage</w:t>
      </w:r>
      <w:r w:rsidRPr="002A4ED0">
        <w:rPr>
          <w:rFonts w:ascii="Times New Roman" w:hAnsi="Times New Roman" w:cs="Times New Roman"/>
          <w:b/>
          <w:sz w:val="24"/>
          <w:szCs w:val="24"/>
          <w:u w:val="single"/>
        </w:rPr>
        <w:t> :</w:t>
      </w:r>
    </w:p>
    <w:p w:rsidR="00B858A3" w:rsidRDefault="00B858A3" w:rsidP="00B858A3">
      <w:pPr>
        <w:pStyle w:val="Paragraphedeliste"/>
        <w:numPr>
          <w:ilvl w:val="0"/>
          <w:numId w:val="4"/>
        </w:numPr>
        <w:jc w:val="both"/>
        <w:rPr>
          <w:rFonts w:ascii="Times New Roman" w:hAnsi="Times New Roman" w:cs="Times New Roman"/>
          <w:b/>
          <w:sz w:val="24"/>
          <w:szCs w:val="24"/>
        </w:rPr>
      </w:pPr>
      <w:r>
        <w:rPr>
          <w:rFonts w:ascii="Times New Roman" w:hAnsi="Times New Roman" w:cs="Times New Roman"/>
          <w:b/>
          <w:sz w:val="24"/>
          <w:szCs w:val="24"/>
        </w:rPr>
        <w:t>Le montant couvert par le factor</w:t>
      </w:r>
      <w:r w:rsidRPr="00B858A3">
        <w:rPr>
          <w:rFonts w:ascii="Times New Roman" w:hAnsi="Times New Roman" w:cs="Times New Roman"/>
          <w:b/>
          <w:sz w:val="24"/>
          <w:szCs w:val="24"/>
        </w:rPr>
        <w:t>  (En % du montant des créances)</w:t>
      </w:r>
    </w:p>
    <w:p w:rsidR="00110CDE" w:rsidRPr="00110CDE" w:rsidRDefault="00B858A3" w:rsidP="00B858A3">
      <w:pPr>
        <w:pStyle w:val="Paragraphedeliste"/>
        <w:numPr>
          <w:ilvl w:val="0"/>
          <w:numId w:val="4"/>
        </w:numPr>
        <w:jc w:val="both"/>
        <w:rPr>
          <w:rFonts w:ascii="Times New Roman" w:hAnsi="Times New Roman" w:cs="Times New Roman"/>
          <w:b/>
          <w:sz w:val="24"/>
          <w:szCs w:val="24"/>
        </w:rPr>
      </w:pPr>
      <w:r>
        <w:rPr>
          <w:rFonts w:ascii="Times New Roman" w:hAnsi="Times New Roman" w:cs="Times New Roman"/>
          <w:b/>
          <w:sz w:val="24"/>
          <w:szCs w:val="24"/>
        </w:rPr>
        <w:t>La commission d’affacturage (</w:t>
      </w:r>
      <w:r w:rsidR="00110CDE">
        <w:rPr>
          <w:rFonts w:ascii="Times New Roman" w:hAnsi="Times New Roman" w:cs="Times New Roman"/>
          <w:b/>
          <w:sz w:val="24"/>
          <w:szCs w:val="24"/>
        </w:rPr>
        <w:t>en % du montant des cré</w:t>
      </w:r>
      <w:r>
        <w:rPr>
          <w:rFonts w:ascii="Times New Roman" w:hAnsi="Times New Roman" w:cs="Times New Roman"/>
          <w:b/>
          <w:sz w:val="24"/>
          <w:szCs w:val="24"/>
        </w:rPr>
        <w:t>a</w:t>
      </w:r>
      <w:r w:rsidR="00110CDE">
        <w:rPr>
          <w:rFonts w:ascii="Times New Roman" w:hAnsi="Times New Roman" w:cs="Times New Roman"/>
          <w:b/>
          <w:sz w:val="24"/>
          <w:szCs w:val="24"/>
        </w:rPr>
        <w:t>n</w:t>
      </w:r>
      <w:r>
        <w:rPr>
          <w:rFonts w:ascii="Times New Roman" w:hAnsi="Times New Roman" w:cs="Times New Roman"/>
          <w:b/>
          <w:sz w:val="24"/>
          <w:szCs w:val="24"/>
        </w:rPr>
        <w:t>ces)</w:t>
      </w:r>
      <w:r w:rsidR="00110CDE">
        <w:rPr>
          <w:rFonts w:ascii="Times New Roman" w:hAnsi="Times New Roman" w:cs="Times New Roman"/>
          <w:b/>
          <w:sz w:val="24"/>
          <w:szCs w:val="24"/>
        </w:rPr>
        <w:t xml:space="preserve"> : </w:t>
      </w:r>
      <w:r w:rsidR="00110CDE">
        <w:rPr>
          <w:rFonts w:ascii="Times New Roman" w:hAnsi="Times New Roman" w:cs="Times New Roman"/>
          <w:sz w:val="24"/>
          <w:szCs w:val="24"/>
        </w:rPr>
        <w:t>Les frais retenus par le factor au moment de l’opération et représentant la rémunération pour les services fournis dans le cadre de la gestion de créance.</w:t>
      </w:r>
    </w:p>
    <w:p w:rsidR="00110CDE" w:rsidRPr="002A4ED0" w:rsidRDefault="00110CDE" w:rsidP="002A4ED0">
      <w:pPr>
        <w:pStyle w:val="Paragraphedeliste"/>
        <w:numPr>
          <w:ilvl w:val="0"/>
          <w:numId w:val="4"/>
        </w:numPr>
        <w:jc w:val="both"/>
        <w:rPr>
          <w:rFonts w:ascii="Times New Roman" w:hAnsi="Times New Roman" w:cs="Times New Roman"/>
          <w:b/>
          <w:sz w:val="24"/>
          <w:szCs w:val="24"/>
        </w:rPr>
      </w:pPr>
      <w:r>
        <w:rPr>
          <w:rFonts w:ascii="Times New Roman" w:hAnsi="Times New Roman" w:cs="Times New Roman"/>
          <w:b/>
          <w:sz w:val="24"/>
          <w:szCs w:val="24"/>
        </w:rPr>
        <w:t>La réserve pour garantir les impayés </w:t>
      </w:r>
      <w:r>
        <w:rPr>
          <w:rFonts w:ascii="Times New Roman" w:hAnsi="Times New Roman" w:cs="Times New Roman"/>
          <w:b/>
          <w:sz w:val="24"/>
          <w:szCs w:val="24"/>
        </w:rPr>
        <w:t>(</w:t>
      </w:r>
      <w:r>
        <w:rPr>
          <w:rFonts w:ascii="Times New Roman" w:hAnsi="Times New Roman" w:cs="Times New Roman"/>
          <w:b/>
          <w:sz w:val="24"/>
          <w:szCs w:val="24"/>
        </w:rPr>
        <w:t>5 à 15</w:t>
      </w:r>
      <w:r>
        <w:rPr>
          <w:rFonts w:ascii="Times New Roman" w:hAnsi="Times New Roman" w:cs="Times New Roman"/>
          <w:b/>
          <w:sz w:val="24"/>
          <w:szCs w:val="24"/>
        </w:rPr>
        <w:t xml:space="preserve"> % du montant des créances)</w:t>
      </w:r>
      <w:r>
        <w:rPr>
          <w:rFonts w:ascii="Times New Roman" w:hAnsi="Times New Roman" w:cs="Times New Roman"/>
          <w:b/>
          <w:sz w:val="24"/>
          <w:szCs w:val="24"/>
        </w:rPr>
        <w:t xml:space="preserve"> : </w:t>
      </w:r>
      <w:r>
        <w:rPr>
          <w:rFonts w:ascii="Times New Roman" w:hAnsi="Times New Roman" w:cs="Times New Roman"/>
          <w:sz w:val="24"/>
          <w:szCs w:val="24"/>
        </w:rPr>
        <w:t xml:space="preserve">C’est le % du montant total de la facture retenu par le factor pour couvrir les éventuels impayés de la part du débiteur, lorsque l’entreprise ne demande pas une avance de financement (un </w:t>
      </w:r>
      <w:proofErr w:type="spellStart"/>
      <w:r>
        <w:rPr>
          <w:rFonts w:ascii="Times New Roman" w:hAnsi="Times New Roman" w:cs="Times New Roman"/>
          <w:sz w:val="24"/>
          <w:szCs w:val="24"/>
        </w:rPr>
        <w:t>pré-financement</w:t>
      </w:r>
      <w:proofErr w:type="spellEnd"/>
      <w:r>
        <w:rPr>
          <w:rFonts w:ascii="Times New Roman" w:hAnsi="Times New Roman" w:cs="Times New Roman"/>
          <w:sz w:val="24"/>
          <w:szCs w:val="24"/>
        </w:rPr>
        <w:t>).</w:t>
      </w:r>
    </w:p>
    <w:p w:rsidR="00B858A3" w:rsidRDefault="00B858A3" w:rsidP="00B858A3">
      <w:pPr>
        <w:pStyle w:val="Paragraphedeliste"/>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2A4ED0">
        <w:rPr>
          <w:rFonts w:ascii="Times New Roman" w:hAnsi="Times New Roman" w:cs="Times New Roman"/>
          <w:b/>
          <w:sz w:val="24"/>
          <w:szCs w:val="24"/>
        </w:rPr>
        <w:t xml:space="preserve">Les intérêts à payer au factor pour la période de </w:t>
      </w:r>
      <w:proofErr w:type="spellStart"/>
      <w:r w:rsidR="002A4ED0">
        <w:rPr>
          <w:rFonts w:ascii="Times New Roman" w:hAnsi="Times New Roman" w:cs="Times New Roman"/>
          <w:b/>
          <w:sz w:val="24"/>
          <w:szCs w:val="24"/>
        </w:rPr>
        <w:t>pré-financement</w:t>
      </w:r>
      <w:proofErr w:type="spellEnd"/>
      <w:r w:rsidR="002A4ED0">
        <w:rPr>
          <w:rFonts w:ascii="Times New Roman" w:hAnsi="Times New Roman" w:cs="Times New Roman"/>
          <w:b/>
          <w:sz w:val="24"/>
          <w:szCs w:val="24"/>
        </w:rPr>
        <w:t xml:space="preserve"> : </w:t>
      </w:r>
    </w:p>
    <w:p w:rsidR="002A4ED0" w:rsidRPr="002A4ED0" w:rsidRDefault="002A4ED0" w:rsidP="002A4ED0">
      <w:pPr>
        <w:jc w:val="both"/>
        <w:rPr>
          <w:rFonts w:ascii="Times New Roman" w:hAnsi="Times New Roman" w:cs="Times New Roman"/>
          <w:b/>
          <w:sz w:val="24"/>
          <w:szCs w:val="24"/>
        </w:rPr>
      </w:pPr>
      <w:r>
        <w:rPr>
          <w:rFonts w:ascii="Times New Roman" w:hAnsi="Times New Roman" w:cs="Times New Roman"/>
          <w:b/>
          <w:sz w:val="24"/>
          <w:szCs w:val="24"/>
        </w:rPr>
        <w:t>Montant avancé par le factor × t × n / 36000</w:t>
      </w:r>
    </w:p>
    <w:p w:rsidR="002A4ED0" w:rsidRDefault="002A4ED0" w:rsidP="00B858A3">
      <w:pPr>
        <w:pStyle w:val="Paragraphedeliste"/>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Le montant total à payer au factor : </w:t>
      </w:r>
    </w:p>
    <w:p w:rsidR="002A4ED0" w:rsidRPr="002A4ED0" w:rsidRDefault="002A4ED0" w:rsidP="002A4ED0">
      <w:pPr>
        <w:jc w:val="both"/>
        <w:rPr>
          <w:rFonts w:ascii="Times New Roman" w:hAnsi="Times New Roman" w:cs="Times New Roman"/>
          <w:b/>
          <w:sz w:val="24"/>
          <w:szCs w:val="24"/>
        </w:rPr>
      </w:pPr>
      <w:r>
        <w:rPr>
          <w:rFonts w:ascii="Times New Roman" w:hAnsi="Times New Roman" w:cs="Times New Roman"/>
          <w:b/>
          <w:sz w:val="24"/>
          <w:szCs w:val="24"/>
        </w:rPr>
        <w:t>Le montant avancé par le factor + commissio</w:t>
      </w:r>
      <w:bookmarkStart w:id="0" w:name="_GoBack"/>
      <w:bookmarkEnd w:id="0"/>
      <w:r>
        <w:rPr>
          <w:rFonts w:ascii="Times New Roman" w:hAnsi="Times New Roman" w:cs="Times New Roman"/>
          <w:b/>
          <w:sz w:val="24"/>
          <w:szCs w:val="24"/>
        </w:rPr>
        <w:t>n d’affacturage + les intérêts</w:t>
      </w:r>
    </w:p>
    <w:sectPr w:rsidR="002A4ED0" w:rsidRPr="002A4ED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75" w:rsidRDefault="00A33F75" w:rsidP="002969C2">
      <w:pPr>
        <w:spacing w:after="0" w:line="240" w:lineRule="auto"/>
      </w:pPr>
      <w:r>
        <w:separator/>
      </w:r>
    </w:p>
  </w:endnote>
  <w:endnote w:type="continuationSeparator" w:id="0">
    <w:p w:rsidR="00A33F75" w:rsidRDefault="00A33F75" w:rsidP="0029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63743"/>
      <w:docPartObj>
        <w:docPartGallery w:val="Page Numbers (Bottom of Page)"/>
        <w:docPartUnique/>
      </w:docPartObj>
    </w:sdtPr>
    <w:sdtContent>
      <w:p w:rsidR="002969C2" w:rsidRDefault="002969C2">
        <w:pPr>
          <w:pStyle w:val="Pieddepage"/>
          <w:jc w:val="center"/>
        </w:pPr>
        <w:r>
          <w:fldChar w:fldCharType="begin"/>
        </w:r>
        <w:r>
          <w:instrText>PAGE   \* MERGEFORMAT</w:instrText>
        </w:r>
        <w:r>
          <w:fldChar w:fldCharType="separate"/>
        </w:r>
        <w:r>
          <w:rPr>
            <w:noProof/>
          </w:rPr>
          <w:t>4</w:t>
        </w:r>
        <w:r>
          <w:fldChar w:fldCharType="end"/>
        </w:r>
      </w:p>
    </w:sdtContent>
  </w:sdt>
  <w:p w:rsidR="002969C2" w:rsidRDefault="002969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75" w:rsidRDefault="00A33F75" w:rsidP="002969C2">
      <w:pPr>
        <w:spacing w:after="0" w:line="240" w:lineRule="auto"/>
      </w:pPr>
      <w:r>
        <w:separator/>
      </w:r>
    </w:p>
  </w:footnote>
  <w:footnote w:type="continuationSeparator" w:id="0">
    <w:p w:rsidR="00A33F75" w:rsidRDefault="00A33F75" w:rsidP="0029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45544"/>
    <w:multiLevelType w:val="hybridMultilevel"/>
    <w:tmpl w:val="9BF6AD7E"/>
    <w:lvl w:ilvl="0" w:tplc="87FE89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B01633"/>
    <w:multiLevelType w:val="hybridMultilevel"/>
    <w:tmpl w:val="4F168C4E"/>
    <w:lvl w:ilvl="0" w:tplc="87FE89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BA24A4"/>
    <w:multiLevelType w:val="hybridMultilevel"/>
    <w:tmpl w:val="CE9E37A4"/>
    <w:lvl w:ilvl="0" w:tplc="87FE89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BD6761D"/>
    <w:multiLevelType w:val="hybridMultilevel"/>
    <w:tmpl w:val="EFD6ACD6"/>
    <w:lvl w:ilvl="0" w:tplc="87FE89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66352D"/>
    <w:multiLevelType w:val="hybridMultilevel"/>
    <w:tmpl w:val="83E09B48"/>
    <w:lvl w:ilvl="0" w:tplc="87FE89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E6"/>
    <w:rsid w:val="00001AB2"/>
    <w:rsid w:val="00012EE6"/>
    <w:rsid w:val="00017DC9"/>
    <w:rsid w:val="000C7920"/>
    <w:rsid w:val="00110CDE"/>
    <w:rsid w:val="00186F25"/>
    <w:rsid w:val="00295137"/>
    <w:rsid w:val="002969C2"/>
    <w:rsid w:val="00296F7E"/>
    <w:rsid w:val="002A4ED0"/>
    <w:rsid w:val="003307E1"/>
    <w:rsid w:val="006C13BA"/>
    <w:rsid w:val="00795346"/>
    <w:rsid w:val="007E3AAF"/>
    <w:rsid w:val="00843140"/>
    <w:rsid w:val="008E12B3"/>
    <w:rsid w:val="008E1D7E"/>
    <w:rsid w:val="00A33F75"/>
    <w:rsid w:val="00AE535A"/>
    <w:rsid w:val="00B3638B"/>
    <w:rsid w:val="00B858A3"/>
    <w:rsid w:val="00BA12F8"/>
    <w:rsid w:val="00C87A64"/>
    <w:rsid w:val="00C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1D7E"/>
    <w:pPr>
      <w:ind w:left="720"/>
      <w:contextualSpacing/>
    </w:pPr>
  </w:style>
  <w:style w:type="paragraph" w:styleId="En-tte">
    <w:name w:val="header"/>
    <w:basedOn w:val="Normal"/>
    <w:link w:val="En-tteCar"/>
    <w:uiPriority w:val="99"/>
    <w:unhideWhenUsed/>
    <w:rsid w:val="002969C2"/>
    <w:pPr>
      <w:tabs>
        <w:tab w:val="center" w:pos="4536"/>
        <w:tab w:val="right" w:pos="9072"/>
      </w:tabs>
      <w:spacing w:after="0" w:line="240" w:lineRule="auto"/>
    </w:pPr>
  </w:style>
  <w:style w:type="character" w:customStyle="1" w:styleId="En-tteCar">
    <w:name w:val="En-tête Car"/>
    <w:basedOn w:val="Policepardfaut"/>
    <w:link w:val="En-tte"/>
    <w:uiPriority w:val="99"/>
    <w:rsid w:val="002969C2"/>
  </w:style>
  <w:style w:type="paragraph" w:styleId="Pieddepage">
    <w:name w:val="footer"/>
    <w:basedOn w:val="Normal"/>
    <w:link w:val="PieddepageCar"/>
    <w:uiPriority w:val="99"/>
    <w:unhideWhenUsed/>
    <w:rsid w:val="002969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1D7E"/>
    <w:pPr>
      <w:ind w:left="720"/>
      <w:contextualSpacing/>
    </w:pPr>
  </w:style>
  <w:style w:type="paragraph" w:styleId="En-tte">
    <w:name w:val="header"/>
    <w:basedOn w:val="Normal"/>
    <w:link w:val="En-tteCar"/>
    <w:uiPriority w:val="99"/>
    <w:unhideWhenUsed/>
    <w:rsid w:val="002969C2"/>
    <w:pPr>
      <w:tabs>
        <w:tab w:val="center" w:pos="4536"/>
        <w:tab w:val="right" w:pos="9072"/>
      </w:tabs>
      <w:spacing w:after="0" w:line="240" w:lineRule="auto"/>
    </w:pPr>
  </w:style>
  <w:style w:type="character" w:customStyle="1" w:styleId="En-tteCar">
    <w:name w:val="En-tête Car"/>
    <w:basedOn w:val="Policepardfaut"/>
    <w:link w:val="En-tte"/>
    <w:uiPriority w:val="99"/>
    <w:rsid w:val="002969C2"/>
  </w:style>
  <w:style w:type="paragraph" w:styleId="Pieddepage">
    <w:name w:val="footer"/>
    <w:basedOn w:val="Normal"/>
    <w:link w:val="PieddepageCar"/>
    <w:uiPriority w:val="99"/>
    <w:unhideWhenUsed/>
    <w:rsid w:val="002969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1223</Words>
  <Characters>6730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2024-12-25T18:13:00Z</dcterms:created>
  <dcterms:modified xsi:type="dcterms:W3CDTF">2024-12-25T21:40:00Z</dcterms:modified>
</cp:coreProperties>
</file>