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731" w:rsidRPr="006C145D" w:rsidRDefault="00B15731" w:rsidP="00B15731">
      <w:pPr>
        <w:jc w:val="center"/>
        <w:rPr>
          <w:rFonts w:ascii="Times New Roman" w:hAnsi="Times New Roman" w:cs="Times New Roman"/>
          <w:b/>
          <w:sz w:val="32"/>
          <w:szCs w:val="32"/>
        </w:rPr>
      </w:pPr>
      <w:r w:rsidRPr="006C145D">
        <w:rPr>
          <w:rFonts w:ascii="Times New Roman" w:hAnsi="Times New Roman" w:cs="Times New Roman"/>
          <w:b/>
          <w:sz w:val="32"/>
          <w:szCs w:val="32"/>
        </w:rPr>
        <w:t>Chapitre 02 : Objet de la bourse de marchandise et procédure de couverture du risque</w:t>
      </w:r>
    </w:p>
    <w:p w:rsidR="00B15731" w:rsidRPr="00DE6926" w:rsidRDefault="00B15731" w:rsidP="00B15731">
      <w:pPr>
        <w:jc w:val="both"/>
        <w:rPr>
          <w:rFonts w:ascii="Times New Roman" w:hAnsi="Times New Roman" w:cs="Times New Roman"/>
          <w:b/>
          <w:sz w:val="28"/>
          <w:szCs w:val="28"/>
        </w:rPr>
      </w:pPr>
      <w:r w:rsidRPr="00DE6926">
        <w:rPr>
          <w:rFonts w:ascii="Times New Roman" w:hAnsi="Times New Roman" w:cs="Times New Roman"/>
          <w:b/>
          <w:sz w:val="28"/>
          <w:szCs w:val="28"/>
        </w:rPr>
        <w:t xml:space="preserve">Section 1 : Définition, historique et objectifs de la bourse de marchandise </w:t>
      </w:r>
    </w:p>
    <w:p w:rsidR="00B15731" w:rsidRPr="00E96D3B" w:rsidRDefault="00B15731" w:rsidP="00B15731">
      <w:pPr>
        <w:jc w:val="both"/>
        <w:rPr>
          <w:rFonts w:ascii="Times New Roman" w:hAnsi="Times New Roman" w:cs="Times New Roman"/>
          <w:sz w:val="24"/>
          <w:szCs w:val="24"/>
        </w:rPr>
      </w:pPr>
      <w:r>
        <w:rPr>
          <w:rFonts w:ascii="Times New Roman" w:hAnsi="Times New Roman" w:cs="Times New Roman"/>
          <w:b/>
          <w:sz w:val="24"/>
          <w:szCs w:val="24"/>
        </w:rPr>
        <w:t>1-1-</w:t>
      </w:r>
      <w:r w:rsidRPr="00C73EAE">
        <w:rPr>
          <w:rFonts w:ascii="Times New Roman" w:hAnsi="Times New Roman" w:cs="Times New Roman"/>
          <w:b/>
          <w:sz w:val="24"/>
          <w:szCs w:val="24"/>
        </w:rPr>
        <w:t>Définition d’une bourse de marchandise</w:t>
      </w:r>
      <w:r>
        <w:rPr>
          <w:rFonts w:ascii="Times New Roman" w:hAnsi="Times New Roman" w:cs="Times New Roman"/>
          <w:sz w:val="24"/>
          <w:szCs w:val="24"/>
        </w:rPr>
        <w:t xml:space="preserve"> : </w:t>
      </w:r>
      <w:r w:rsidRPr="00E96D3B">
        <w:rPr>
          <w:rFonts w:ascii="Times New Roman" w:hAnsi="Times New Roman" w:cs="Times New Roman"/>
          <w:sz w:val="24"/>
          <w:szCs w:val="24"/>
        </w:rPr>
        <w:t xml:space="preserve">Une bourse des marchandises est un marché où sont négociés, les plus souvent via des contrats à terme, des produits de base tels que les matières premières agricoles (café, coton, mais, soja, colza, blé...) ou les matières premières dures (pétrole, or, cuivre...). Les contrats au comptant, les </w:t>
      </w:r>
      <w:r w:rsidRPr="00E96D3B">
        <w:rPr>
          <w:rFonts w:ascii="Times New Roman" w:hAnsi="Times New Roman" w:cs="Times New Roman"/>
          <w:b/>
          <w:sz w:val="24"/>
          <w:szCs w:val="24"/>
        </w:rPr>
        <w:t>futures</w:t>
      </w:r>
      <w:r w:rsidRPr="00E96D3B">
        <w:rPr>
          <w:rFonts w:ascii="Times New Roman" w:hAnsi="Times New Roman" w:cs="Times New Roman"/>
          <w:sz w:val="24"/>
          <w:szCs w:val="24"/>
        </w:rPr>
        <w:t xml:space="preserve">, les </w:t>
      </w:r>
      <w:r w:rsidRPr="00E96D3B">
        <w:rPr>
          <w:rFonts w:ascii="Times New Roman" w:hAnsi="Times New Roman" w:cs="Times New Roman"/>
          <w:b/>
          <w:i/>
          <w:sz w:val="24"/>
          <w:szCs w:val="24"/>
        </w:rPr>
        <w:t>forwards</w:t>
      </w:r>
      <w:r w:rsidRPr="00E96D3B">
        <w:rPr>
          <w:rFonts w:ascii="Times New Roman" w:hAnsi="Times New Roman" w:cs="Times New Roman"/>
          <w:sz w:val="24"/>
          <w:szCs w:val="24"/>
        </w:rPr>
        <w:t xml:space="preserve"> ou les </w:t>
      </w:r>
      <w:r w:rsidRPr="00E96D3B">
        <w:rPr>
          <w:rFonts w:ascii="Times New Roman" w:hAnsi="Times New Roman" w:cs="Times New Roman"/>
          <w:b/>
          <w:sz w:val="24"/>
          <w:szCs w:val="24"/>
        </w:rPr>
        <w:t xml:space="preserve">options </w:t>
      </w:r>
      <w:r w:rsidRPr="00E96D3B">
        <w:rPr>
          <w:rFonts w:ascii="Times New Roman" w:hAnsi="Times New Roman" w:cs="Times New Roman"/>
          <w:sz w:val="24"/>
          <w:szCs w:val="24"/>
        </w:rPr>
        <w:t xml:space="preserve">sont les différentes formes de contrats échangés sur ces bourses. </w:t>
      </w:r>
    </w:p>
    <w:p w:rsidR="00B15731" w:rsidRPr="00E96D3B" w:rsidRDefault="00B15731" w:rsidP="00B15731">
      <w:pPr>
        <w:jc w:val="both"/>
        <w:rPr>
          <w:rFonts w:ascii="Times New Roman" w:hAnsi="Times New Roman" w:cs="Times New Roman"/>
          <w:sz w:val="24"/>
          <w:szCs w:val="24"/>
        </w:rPr>
      </w:pPr>
      <w:r>
        <w:rPr>
          <w:rFonts w:ascii="Times New Roman" w:hAnsi="Times New Roman" w:cs="Times New Roman"/>
          <w:b/>
          <w:sz w:val="24"/>
          <w:szCs w:val="24"/>
        </w:rPr>
        <w:t>1-2-</w:t>
      </w:r>
      <w:r w:rsidRPr="00C73EAE">
        <w:rPr>
          <w:rFonts w:ascii="Times New Roman" w:hAnsi="Times New Roman" w:cs="Times New Roman"/>
          <w:b/>
          <w:sz w:val="24"/>
          <w:szCs w:val="24"/>
        </w:rPr>
        <w:t>Le rôle principal d’une bourse de marchandise</w:t>
      </w:r>
      <w:r>
        <w:rPr>
          <w:rFonts w:ascii="Times New Roman" w:hAnsi="Times New Roman" w:cs="Times New Roman"/>
          <w:b/>
          <w:sz w:val="24"/>
          <w:szCs w:val="24"/>
        </w:rPr>
        <w:t> :</w:t>
      </w:r>
      <w:r w:rsidRPr="00E96D3B">
        <w:rPr>
          <w:rFonts w:ascii="Times New Roman" w:hAnsi="Times New Roman" w:cs="Times New Roman"/>
          <w:sz w:val="24"/>
          <w:szCs w:val="24"/>
        </w:rPr>
        <w:t xml:space="preserve"> est de transférer le risque de prix d’un produit de base de ceux qui ne l’accepte pas (les épargnants) à ceux qui l’acceptent (les spéculateurs). </w:t>
      </w:r>
    </w:p>
    <w:p w:rsidR="00B15731" w:rsidRPr="00CB4A31" w:rsidRDefault="00B15731" w:rsidP="00B15731">
      <w:pPr>
        <w:jc w:val="both"/>
        <w:rPr>
          <w:rFonts w:ascii="Times New Roman" w:hAnsi="Times New Roman" w:cs="Times New Roman"/>
          <w:b/>
          <w:sz w:val="24"/>
          <w:szCs w:val="24"/>
        </w:rPr>
      </w:pPr>
      <w:r>
        <w:rPr>
          <w:rFonts w:ascii="Times New Roman" w:hAnsi="Times New Roman" w:cs="Times New Roman"/>
          <w:b/>
          <w:sz w:val="24"/>
          <w:szCs w:val="24"/>
        </w:rPr>
        <w:t xml:space="preserve">1-3-Définition d’un </w:t>
      </w:r>
      <w:r w:rsidRPr="00E96D3B">
        <w:rPr>
          <w:rFonts w:ascii="Times New Roman" w:hAnsi="Times New Roman" w:cs="Times New Roman"/>
          <w:b/>
          <w:sz w:val="24"/>
          <w:szCs w:val="24"/>
        </w:rPr>
        <w:t>contrat à terme :</w:t>
      </w:r>
      <w:r w:rsidRPr="00E96D3B">
        <w:rPr>
          <w:rFonts w:ascii="Times New Roman" w:hAnsi="Times New Roman" w:cs="Times New Roman"/>
          <w:sz w:val="24"/>
          <w:szCs w:val="24"/>
        </w:rPr>
        <w:t xml:space="preserve"> c’est un engagement négocié entre deux contreparties qui permet d’acheter ou de vendre une quantité déterminée d’un actif sous-jacent (matière première) à une date prédéterminée (la date d’échéance) à un prix convenu à l’avance. C’est un engagement ferme définitif. On trouve </w:t>
      </w:r>
      <w:r w:rsidRPr="00CB4A31">
        <w:rPr>
          <w:rFonts w:ascii="Times New Roman" w:hAnsi="Times New Roman" w:cs="Times New Roman"/>
          <w:b/>
          <w:sz w:val="24"/>
          <w:szCs w:val="24"/>
        </w:rPr>
        <w:t>trois formes de contrat à terme :</w:t>
      </w:r>
    </w:p>
    <w:p w:rsidR="00B15731" w:rsidRPr="00CB4A31" w:rsidRDefault="00B15731" w:rsidP="00B15731">
      <w:pPr>
        <w:pStyle w:val="Paragraphedeliste"/>
        <w:numPr>
          <w:ilvl w:val="0"/>
          <w:numId w:val="2"/>
        </w:numPr>
        <w:jc w:val="both"/>
        <w:rPr>
          <w:rFonts w:ascii="Times New Roman" w:hAnsi="Times New Roman" w:cs="Times New Roman"/>
          <w:sz w:val="24"/>
          <w:szCs w:val="24"/>
        </w:rPr>
      </w:pPr>
      <w:r w:rsidRPr="00CB4A31">
        <w:rPr>
          <w:rFonts w:ascii="Times New Roman" w:hAnsi="Times New Roman" w:cs="Times New Roman"/>
          <w:b/>
          <w:sz w:val="24"/>
          <w:szCs w:val="24"/>
        </w:rPr>
        <w:t>Le future :</w:t>
      </w:r>
      <w:r w:rsidRPr="00CB4A31">
        <w:rPr>
          <w:rFonts w:ascii="Times New Roman" w:hAnsi="Times New Roman" w:cs="Times New Roman"/>
          <w:sz w:val="24"/>
          <w:szCs w:val="24"/>
        </w:rPr>
        <w:t xml:space="preserve"> c’est un contrat à terme standardisé négociable sur un marché réglementé (bourse).</w:t>
      </w:r>
    </w:p>
    <w:p w:rsidR="00B15731" w:rsidRPr="00CB4A31" w:rsidRDefault="00B15731" w:rsidP="00B15731">
      <w:pPr>
        <w:pStyle w:val="Paragraphedeliste"/>
        <w:numPr>
          <w:ilvl w:val="0"/>
          <w:numId w:val="2"/>
        </w:numPr>
        <w:jc w:val="both"/>
        <w:rPr>
          <w:rFonts w:ascii="Times New Roman" w:hAnsi="Times New Roman" w:cs="Times New Roman"/>
          <w:sz w:val="24"/>
          <w:szCs w:val="24"/>
        </w:rPr>
      </w:pPr>
      <w:r w:rsidRPr="00CB4A31">
        <w:rPr>
          <w:rFonts w:ascii="Times New Roman" w:hAnsi="Times New Roman" w:cs="Times New Roman"/>
          <w:b/>
          <w:sz w:val="24"/>
          <w:szCs w:val="24"/>
        </w:rPr>
        <w:t>Le forward :</w:t>
      </w:r>
      <w:r w:rsidRPr="00CB4A31">
        <w:rPr>
          <w:rFonts w:ascii="Times New Roman" w:hAnsi="Times New Roman" w:cs="Times New Roman"/>
          <w:sz w:val="24"/>
          <w:szCs w:val="24"/>
        </w:rPr>
        <w:t xml:space="preserve"> c’est un contrat à terme « sur mesure » négociable sur un marché de gré à gré.</w:t>
      </w:r>
    </w:p>
    <w:p w:rsidR="00B15731" w:rsidRPr="00CB4A31" w:rsidRDefault="00B15731" w:rsidP="00B15731">
      <w:pPr>
        <w:pStyle w:val="Paragraphedeliste"/>
        <w:numPr>
          <w:ilvl w:val="0"/>
          <w:numId w:val="2"/>
        </w:numPr>
        <w:jc w:val="both"/>
        <w:rPr>
          <w:rFonts w:ascii="Times New Roman" w:hAnsi="Times New Roman" w:cs="Times New Roman"/>
          <w:sz w:val="24"/>
          <w:szCs w:val="24"/>
        </w:rPr>
      </w:pPr>
      <w:r w:rsidRPr="00CB4A31">
        <w:rPr>
          <w:rFonts w:ascii="Times New Roman" w:hAnsi="Times New Roman" w:cs="Times New Roman"/>
          <w:b/>
          <w:sz w:val="24"/>
          <w:szCs w:val="24"/>
        </w:rPr>
        <w:t>L’option :</w:t>
      </w:r>
      <w:r w:rsidRPr="00CB4A31">
        <w:rPr>
          <w:rFonts w:ascii="Times New Roman" w:hAnsi="Times New Roman" w:cs="Times New Roman"/>
          <w:sz w:val="24"/>
          <w:szCs w:val="24"/>
        </w:rPr>
        <w:t xml:space="preserve"> c’est le droit et non pas l’obligation d’achat ou de vente d’une quantité déterminée d’un actif sous-jacent  (matière première) à une date prédéterminée (la date d’échéance) à un prix convenu à l’avance. Il permet de profiter d’une évolution favorable des prix.</w:t>
      </w:r>
    </w:p>
    <w:p w:rsidR="00B15731" w:rsidRDefault="00B15731" w:rsidP="00B15731">
      <w:pPr>
        <w:jc w:val="both"/>
        <w:rPr>
          <w:rFonts w:ascii="Times New Roman" w:hAnsi="Times New Roman" w:cs="Times New Roman"/>
          <w:b/>
          <w:sz w:val="24"/>
          <w:szCs w:val="24"/>
        </w:rPr>
      </w:pPr>
      <w:r>
        <w:rPr>
          <w:rFonts w:ascii="Times New Roman" w:hAnsi="Times New Roman" w:cs="Times New Roman"/>
          <w:b/>
          <w:sz w:val="24"/>
          <w:szCs w:val="24"/>
        </w:rPr>
        <w:t>1-4-</w:t>
      </w:r>
      <w:r w:rsidRPr="00CB4A31">
        <w:rPr>
          <w:rFonts w:ascii="Times New Roman" w:hAnsi="Times New Roman" w:cs="Times New Roman"/>
          <w:b/>
          <w:sz w:val="24"/>
          <w:szCs w:val="24"/>
        </w:rPr>
        <w:t>Distinction entre une position courte et position longue</w:t>
      </w:r>
      <w:r>
        <w:rPr>
          <w:rFonts w:ascii="Times New Roman" w:hAnsi="Times New Roman" w:cs="Times New Roman"/>
          <w:b/>
          <w:sz w:val="24"/>
          <w:szCs w:val="24"/>
        </w:rPr>
        <w:t> :</w:t>
      </w:r>
    </w:p>
    <w:p w:rsidR="00B15731" w:rsidRDefault="00B15731" w:rsidP="00B15731">
      <w:pPr>
        <w:pStyle w:val="Paragraphedeliste"/>
        <w:numPr>
          <w:ilvl w:val="0"/>
          <w:numId w:val="3"/>
        </w:numPr>
        <w:jc w:val="both"/>
        <w:rPr>
          <w:rFonts w:ascii="Times New Roman" w:hAnsi="Times New Roman" w:cs="Times New Roman"/>
          <w:sz w:val="24"/>
          <w:szCs w:val="24"/>
        </w:rPr>
      </w:pPr>
      <w:r w:rsidRPr="00CB4A31">
        <w:rPr>
          <w:rFonts w:ascii="Times New Roman" w:hAnsi="Times New Roman" w:cs="Times New Roman"/>
          <w:sz w:val="24"/>
          <w:szCs w:val="24"/>
        </w:rPr>
        <w:t xml:space="preserve">Si vous anticipez la hausse d’un actif sous-jacent, vous pouvez acheter un contrat à terme, c’est-à-dire prendre </w:t>
      </w:r>
      <w:r w:rsidRPr="00CB4A31">
        <w:rPr>
          <w:rFonts w:ascii="Times New Roman" w:hAnsi="Times New Roman" w:cs="Times New Roman"/>
          <w:b/>
          <w:sz w:val="24"/>
          <w:szCs w:val="24"/>
        </w:rPr>
        <w:t>une position longue</w:t>
      </w:r>
      <w:r w:rsidRPr="00CB4A31">
        <w:rPr>
          <w:rFonts w:ascii="Times New Roman" w:hAnsi="Times New Roman" w:cs="Times New Roman"/>
          <w:sz w:val="24"/>
          <w:szCs w:val="24"/>
        </w:rPr>
        <w:t>, ce qui vous engagera à acquérir l’actif sous-jacent, ou l’équivalent en espèces, à un  prix pré-convenu et à une certaine date.</w:t>
      </w:r>
    </w:p>
    <w:p w:rsidR="00B15731" w:rsidRPr="00CB4A31" w:rsidRDefault="00B15731" w:rsidP="00B15731">
      <w:pPr>
        <w:pStyle w:val="Paragraphedeliste"/>
        <w:jc w:val="both"/>
        <w:rPr>
          <w:rFonts w:ascii="Times New Roman" w:hAnsi="Times New Roman" w:cs="Times New Roman"/>
          <w:sz w:val="24"/>
          <w:szCs w:val="24"/>
        </w:rPr>
      </w:pPr>
    </w:p>
    <w:p w:rsidR="00B15731" w:rsidRPr="00CB4A31" w:rsidRDefault="00B15731" w:rsidP="00B15731">
      <w:pPr>
        <w:pStyle w:val="Paragraphedeliste"/>
        <w:numPr>
          <w:ilvl w:val="0"/>
          <w:numId w:val="3"/>
        </w:numPr>
        <w:jc w:val="both"/>
        <w:rPr>
          <w:rFonts w:ascii="Times New Roman" w:hAnsi="Times New Roman" w:cs="Times New Roman"/>
          <w:sz w:val="24"/>
          <w:szCs w:val="24"/>
        </w:rPr>
      </w:pPr>
      <w:r w:rsidRPr="00CB4A31">
        <w:rPr>
          <w:rFonts w:ascii="Times New Roman" w:hAnsi="Times New Roman" w:cs="Times New Roman"/>
          <w:sz w:val="24"/>
          <w:szCs w:val="24"/>
        </w:rPr>
        <w:t xml:space="preserve">Si vous anticipez la baisse d’un actif sous-jacent, vous pouvez vendre un contrat à terme, c’est-à-dire prendre </w:t>
      </w:r>
      <w:r w:rsidRPr="00CB4A31">
        <w:rPr>
          <w:rFonts w:ascii="Times New Roman" w:hAnsi="Times New Roman" w:cs="Times New Roman"/>
          <w:b/>
          <w:sz w:val="24"/>
          <w:szCs w:val="24"/>
        </w:rPr>
        <w:t>une position courte</w:t>
      </w:r>
      <w:r w:rsidRPr="00CB4A31">
        <w:rPr>
          <w:rFonts w:ascii="Times New Roman" w:hAnsi="Times New Roman" w:cs="Times New Roman"/>
          <w:sz w:val="24"/>
          <w:szCs w:val="24"/>
        </w:rPr>
        <w:t>, ce qui vous engagera à livrer l’actif sous-jacent, ou l’équivalent en espèces, à un prix  pré-convenu et à une certaine date.</w:t>
      </w:r>
    </w:p>
    <w:p w:rsidR="00B15731" w:rsidRPr="00E96D3B" w:rsidRDefault="00B15731" w:rsidP="00B15731">
      <w:pPr>
        <w:jc w:val="both"/>
        <w:rPr>
          <w:rFonts w:ascii="Times New Roman" w:hAnsi="Times New Roman" w:cs="Times New Roman"/>
          <w:b/>
          <w:sz w:val="24"/>
          <w:szCs w:val="24"/>
        </w:rPr>
      </w:pPr>
      <w:r>
        <w:rPr>
          <w:rFonts w:ascii="Times New Roman" w:hAnsi="Times New Roman" w:cs="Times New Roman"/>
          <w:b/>
          <w:sz w:val="24"/>
          <w:szCs w:val="24"/>
        </w:rPr>
        <w:t>1-5-</w:t>
      </w:r>
      <w:r w:rsidRPr="00E96D3B">
        <w:rPr>
          <w:rFonts w:ascii="Times New Roman" w:hAnsi="Times New Roman" w:cs="Times New Roman"/>
          <w:b/>
          <w:sz w:val="24"/>
          <w:szCs w:val="24"/>
        </w:rPr>
        <w:t xml:space="preserve">Différence entre un contrat Forward et un contrat future   </w:t>
      </w:r>
    </w:p>
    <w:p w:rsidR="00B15731" w:rsidRPr="00E96D3B" w:rsidRDefault="00B15731" w:rsidP="00B15731">
      <w:pPr>
        <w:jc w:val="both"/>
        <w:rPr>
          <w:rFonts w:ascii="Times New Roman" w:hAnsi="Times New Roman" w:cs="Times New Roman"/>
          <w:sz w:val="24"/>
          <w:szCs w:val="24"/>
        </w:rPr>
      </w:pPr>
      <w:r w:rsidRPr="00E96D3B">
        <w:rPr>
          <w:rFonts w:ascii="Times New Roman" w:hAnsi="Times New Roman" w:cs="Times New Roman"/>
          <w:sz w:val="24"/>
          <w:szCs w:val="24"/>
        </w:rPr>
        <w:t xml:space="preserve">Les deux contrats à terme sont des accords entre deux parties pour vendre ou acheter un actif sous-jacent (matière première en vue de se couvrir cotre une évolution défavorable des prix, mais les contrats forward sont établis directement entre les deux parties, c’est donc un contrat </w:t>
      </w:r>
      <w:r w:rsidRPr="00E96D3B">
        <w:rPr>
          <w:rFonts w:ascii="Times New Roman" w:hAnsi="Times New Roman" w:cs="Times New Roman"/>
          <w:b/>
          <w:sz w:val="24"/>
          <w:szCs w:val="24"/>
        </w:rPr>
        <w:t xml:space="preserve">sur mesure </w:t>
      </w:r>
      <w:r w:rsidRPr="00E96D3B">
        <w:rPr>
          <w:rFonts w:ascii="Times New Roman" w:hAnsi="Times New Roman" w:cs="Times New Roman"/>
          <w:sz w:val="24"/>
          <w:szCs w:val="24"/>
        </w:rPr>
        <w:t xml:space="preserve">répondant bien aux besoins des opérateurs économiques. Les contrats forward </w:t>
      </w:r>
      <w:r w:rsidRPr="00E96D3B">
        <w:rPr>
          <w:rFonts w:ascii="Times New Roman" w:hAnsi="Times New Roman" w:cs="Times New Roman"/>
          <w:sz w:val="24"/>
          <w:szCs w:val="24"/>
        </w:rPr>
        <w:lastRenderedPageBreak/>
        <w:t xml:space="preserve">s’échange sur un </w:t>
      </w:r>
      <w:r w:rsidRPr="00E96D3B">
        <w:rPr>
          <w:rFonts w:ascii="Times New Roman" w:hAnsi="Times New Roman" w:cs="Times New Roman"/>
          <w:b/>
          <w:sz w:val="24"/>
          <w:szCs w:val="24"/>
        </w:rPr>
        <w:t>marché de gré à gré</w:t>
      </w:r>
      <w:r w:rsidRPr="00E96D3B">
        <w:rPr>
          <w:rFonts w:ascii="Times New Roman" w:hAnsi="Times New Roman" w:cs="Times New Roman"/>
          <w:sz w:val="24"/>
          <w:szCs w:val="24"/>
        </w:rPr>
        <w:t>. Ce contrat n’est pas standardisé. Pour les forward la date d’échéance, le prix, la quantité sont libre et sont le résultat de négociation entre l’acheteur et le vendeur.</w:t>
      </w:r>
    </w:p>
    <w:p w:rsidR="00B15731" w:rsidRPr="00E96D3B" w:rsidRDefault="00B15731" w:rsidP="00B15731">
      <w:pPr>
        <w:jc w:val="both"/>
        <w:rPr>
          <w:rFonts w:ascii="Times New Roman" w:hAnsi="Times New Roman" w:cs="Times New Roman"/>
          <w:sz w:val="24"/>
          <w:szCs w:val="24"/>
        </w:rPr>
      </w:pPr>
      <w:r w:rsidRPr="00E96D3B">
        <w:rPr>
          <w:rFonts w:ascii="Times New Roman" w:hAnsi="Times New Roman" w:cs="Times New Roman"/>
          <w:sz w:val="24"/>
          <w:szCs w:val="24"/>
        </w:rPr>
        <w:t xml:space="preserve">Tandis que les contrats </w:t>
      </w:r>
      <w:r w:rsidRPr="004E2B0C">
        <w:rPr>
          <w:rFonts w:ascii="Times New Roman" w:hAnsi="Times New Roman" w:cs="Times New Roman"/>
          <w:i/>
          <w:sz w:val="24"/>
          <w:szCs w:val="24"/>
        </w:rPr>
        <w:t>futurs</w:t>
      </w:r>
      <w:r w:rsidRPr="00E96D3B">
        <w:rPr>
          <w:rFonts w:ascii="Times New Roman" w:hAnsi="Times New Roman" w:cs="Times New Roman"/>
          <w:sz w:val="24"/>
          <w:szCs w:val="24"/>
        </w:rPr>
        <w:t xml:space="preserve"> sont établis via un </w:t>
      </w:r>
      <w:r w:rsidRPr="00E96D3B">
        <w:rPr>
          <w:rFonts w:ascii="Times New Roman" w:hAnsi="Times New Roman" w:cs="Times New Roman"/>
          <w:b/>
          <w:sz w:val="24"/>
          <w:szCs w:val="24"/>
        </w:rPr>
        <w:t>marché organisé</w:t>
      </w:r>
      <w:r w:rsidRPr="00E96D3B">
        <w:rPr>
          <w:rFonts w:ascii="Times New Roman" w:hAnsi="Times New Roman" w:cs="Times New Roman"/>
          <w:sz w:val="24"/>
          <w:szCs w:val="24"/>
        </w:rPr>
        <w:t xml:space="preserve">, ils sont </w:t>
      </w:r>
      <w:r w:rsidRPr="00E96D3B">
        <w:rPr>
          <w:rFonts w:ascii="Times New Roman" w:hAnsi="Times New Roman" w:cs="Times New Roman"/>
          <w:b/>
          <w:sz w:val="24"/>
          <w:szCs w:val="24"/>
        </w:rPr>
        <w:t>standardisés</w:t>
      </w:r>
      <w:r w:rsidRPr="00E96D3B">
        <w:rPr>
          <w:rFonts w:ascii="Times New Roman" w:hAnsi="Times New Roman" w:cs="Times New Roman"/>
          <w:sz w:val="24"/>
          <w:szCs w:val="24"/>
        </w:rPr>
        <w:t>. La date de livraison, la quantité, parfois la qualité et l’endroit (matière première) sont spécifiés par la bourse sur lesquels ces contrats sont négociés. Les acheteurs et les vendeurs ne se connaissent pas. Pour le contrat futur (marché organisé), la chambre de compensation assure la contrepartie et garantie donc l’absence de défaillance de l’une des deux parties. A</w:t>
      </w:r>
      <w:r>
        <w:rPr>
          <w:rFonts w:ascii="Times New Roman" w:hAnsi="Times New Roman" w:cs="Times New Roman"/>
          <w:sz w:val="24"/>
          <w:szCs w:val="24"/>
        </w:rPr>
        <w:t xml:space="preserve"> la clôture de chaque jour</w:t>
      </w:r>
      <w:r w:rsidRPr="00E96D3B">
        <w:rPr>
          <w:rFonts w:ascii="Times New Roman" w:hAnsi="Times New Roman" w:cs="Times New Roman"/>
          <w:sz w:val="24"/>
          <w:szCs w:val="24"/>
        </w:rPr>
        <w:t xml:space="preserve"> le broker reporte sur votre compte le profit ou la perte du jour.  Par ailleurs l’une des propriétés les plus importantes des contrats future est la mise en place </w:t>
      </w:r>
      <w:r w:rsidRPr="00E96D3B">
        <w:rPr>
          <w:rFonts w:ascii="Times New Roman" w:hAnsi="Times New Roman" w:cs="Times New Roman"/>
          <w:b/>
          <w:sz w:val="24"/>
          <w:szCs w:val="24"/>
        </w:rPr>
        <w:t>d’appelle de marge</w:t>
      </w:r>
      <w:r w:rsidRPr="00E96D3B">
        <w:rPr>
          <w:rFonts w:ascii="Times New Roman" w:hAnsi="Times New Roman" w:cs="Times New Roman"/>
          <w:sz w:val="24"/>
          <w:szCs w:val="24"/>
        </w:rPr>
        <w:t xml:space="preserve">. En effet, comme la valeur d’un contrat évolue avec le temps (en fonction de l’évolution du prix spot ou prix à  terme), chaque partie peut perdre de l’argent. Les appels de marge visent à s’assurer que les paiements finaux auront bien lieu, les gains ou les pertes potentielles sont réglés de façon quotidienne avec la nouvelle évolution de la valeur des contrats.         </w:t>
      </w:r>
    </w:p>
    <w:p w:rsidR="00B15731" w:rsidRPr="00E96D3B" w:rsidRDefault="00B15731" w:rsidP="00B15731">
      <w:pPr>
        <w:jc w:val="both"/>
        <w:rPr>
          <w:rFonts w:ascii="Times New Roman" w:hAnsi="Times New Roman" w:cs="Times New Roman"/>
          <w:b/>
          <w:sz w:val="24"/>
          <w:szCs w:val="24"/>
        </w:rPr>
      </w:pPr>
      <w:r>
        <w:rPr>
          <w:rFonts w:ascii="Times New Roman" w:hAnsi="Times New Roman" w:cs="Times New Roman"/>
          <w:b/>
          <w:sz w:val="24"/>
          <w:szCs w:val="24"/>
        </w:rPr>
        <w:t>1-6-</w:t>
      </w:r>
      <w:r w:rsidRPr="00E96D3B">
        <w:rPr>
          <w:rFonts w:ascii="Times New Roman" w:hAnsi="Times New Roman" w:cs="Times New Roman"/>
          <w:b/>
          <w:sz w:val="24"/>
          <w:szCs w:val="24"/>
        </w:rPr>
        <w:t>Le rôle de la chambre de compensation :</w:t>
      </w:r>
    </w:p>
    <w:p w:rsidR="00B15731" w:rsidRPr="00E96D3B" w:rsidRDefault="00B15731" w:rsidP="00B15731">
      <w:pPr>
        <w:ind w:firstLine="708"/>
        <w:jc w:val="both"/>
        <w:rPr>
          <w:rFonts w:ascii="Times New Roman" w:hAnsi="Times New Roman" w:cs="Times New Roman"/>
          <w:sz w:val="24"/>
          <w:szCs w:val="24"/>
        </w:rPr>
      </w:pPr>
      <w:r w:rsidRPr="00E96D3B">
        <w:rPr>
          <w:rFonts w:ascii="Times New Roman" w:hAnsi="Times New Roman" w:cs="Times New Roman"/>
          <w:sz w:val="24"/>
          <w:szCs w:val="24"/>
        </w:rPr>
        <w:t>La chambre de compensation est un organisme de bourse qui porte intermédiaire dans toutes les transactions sur future. Son rôle est de garantir l’exécution des contrats à l’échéance et de garder une trace de toutes les opérations. Elle fonctionne grâce à ces membres, seule habilité à effectuer des transactions directes avec la bourse.</w:t>
      </w:r>
    </w:p>
    <w:p w:rsidR="00B15731" w:rsidRPr="00E96D3B" w:rsidRDefault="00B15731" w:rsidP="00B15731">
      <w:pPr>
        <w:ind w:firstLine="708"/>
        <w:jc w:val="both"/>
        <w:rPr>
          <w:rFonts w:ascii="Times New Roman" w:hAnsi="Times New Roman" w:cs="Times New Roman"/>
          <w:sz w:val="24"/>
          <w:szCs w:val="24"/>
        </w:rPr>
      </w:pPr>
      <w:r w:rsidRPr="00E96D3B">
        <w:rPr>
          <w:rFonts w:ascii="Times New Roman" w:hAnsi="Times New Roman" w:cs="Times New Roman"/>
          <w:sz w:val="24"/>
          <w:szCs w:val="24"/>
        </w:rPr>
        <w:t>La chambre de compensation vérifie, liquide, et notifie les transactions de chaque jour et garantie l’exécution de chaque contrat. Celle-ci est assurée par le versement de marge et le recouvrement de toutes les obligations non acquittées auprès des adhérents dans un délai de 24 heurs. Chaque compte est évalué au prix du marché à la fin de la journée de cotation, les paiements étant effectués en fonction de l’évolution du cours du marché. Les adhérents-compensateurs effectuent le paiement dans un fond de garantie permanent, ce qui permet à la chambre de compensation d’assumer la responsabilité des adhérents défaillants.</w:t>
      </w:r>
    </w:p>
    <w:p w:rsidR="00B15731" w:rsidRPr="004E2B0C" w:rsidRDefault="00B15731" w:rsidP="00B15731">
      <w:pPr>
        <w:jc w:val="both"/>
        <w:rPr>
          <w:rFonts w:ascii="Times New Roman" w:hAnsi="Times New Roman" w:cs="Times New Roman"/>
          <w:b/>
          <w:sz w:val="24"/>
          <w:szCs w:val="24"/>
        </w:rPr>
      </w:pPr>
      <w:r>
        <w:rPr>
          <w:rFonts w:ascii="Times New Roman" w:hAnsi="Times New Roman" w:cs="Times New Roman"/>
          <w:b/>
          <w:sz w:val="24"/>
          <w:szCs w:val="24"/>
        </w:rPr>
        <w:t>La fermeture d’une position </w:t>
      </w:r>
    </w:p>
    <w:p w:rsidR="00B15731" w:rsidRPr="00E96D3B" w:rsidRDefault="00B15731" w:rsidP="00B15731">
      <w:pPr>
        <w:ind w:firstLine="708"/>
        <w:jc w:val="both"/>
        <w:rPr>
          <w:rFonts w:ascii="Times New Roman" w:hAnsi="Times New Roman" w:cs="Times New Roman"/>
          <w:sz w:val="24"/>
          <w:szCs w:val="24"/>
        </w:rPr>
      </w:pPr>
      <w:r w:rsidRPr="00E96D3B">
        <w:rPr>
          <w:rFonts w:ascii="Times New Roman" w:hAnsi="Times New Roman" w:cs="Times New Roman"/>
          <w:sz w:val="24"/>
          <w:szCs w:val="24"/>
        </w:rPr>
        <w:t>L’existence d’une chambre de compensation permet à l’investisseur qui détient une position court (vendeur), et qui ne désire pas livrer l’actif sous-jacent, de prendre une position opposée avant l’échéance du contrat.</w:t>
      </w:r>
    </w:p>
    <w:p w:rsidR="00B15731" w:rsidRDefault="00B15731" w:rsidP="00B15731">
      <w:pPr>
        <w:jc w:val="both"/>
        <w:rPr>
          <w:rFonts w:ascii="Times New Roman" w:hAnsi="Times New Roman" w:cs="Times New Roman"/>
          <w:sz w:val="24"/>
          <w:szCs w:val="24"/>
        </w:rPr>
      </w:pPr>
      <w:r w:rsidRPr="00E96D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6D3B">
        <w:rPr>
          <w:rFonts w:ascii="Times New Roman" w:hAnsi="Times New Roman" w:cs="Times New Roman"/>
          <w:sz w:val="24"/>
          <w:szCs w:val="24"/>
        </w:rPr>
        <w:t xml:space="preserve">Exemple : </w:t>
      </w:r>
    </w:p>
    <w:p w:rsidR="00B15731" w:rsidRPr="004E2B0C" w:rsidRDefault="00B15731" w:rsidP="00B15731">
      <w:pPr>
        <w:pStyle w:val="Paragraphedeliste"/>
        <w:numPr>
          <w:ilvl w:val="0"/>
          <w:numId w:val="1"/>
        </w:numPr>
        <w:jc w:val="both"/>
        <w:rPr>
          <w:rFonts w:ascii="Times New Roman" w:hAnsi="Times New Roman" w:cs="Times New Roman"/>
        </w:rPr>
      </w:pPr>
      <w:r w:rsidRPr="004E2B0C">
        <w:rPr>
          <w:rFonts w:ascii="Times New Roman" w:hAnsi="Times New Roman" w:cs="Times New Roman"/>
        </w:rPr>
        <w:t xml:space="preserve">Supposant un investisseur qui s’est engagé dans un contrat à terme standardisé (future) l’oblige </w:t>
      </w:r>
      <w:r w:rsidRPr="004E2B0C">
        <w:rPr>
          <w:rFonts w:ascii="Times New Roman" w:hAnsi="Times New Roman" w:cs="Times New Roman"/>
          <w:b/>
        </w:rPr>
        <w:t>à livrer</w:t>
      </w:r>
      <w:r w:rsidRPr="004E2B0C">
        <w:rPr>
          <w:rFonts w:ascii="Times New Roman" w:hAnsi="Times New Roman" w:cs="Times New Roman"/>
        </w:rPr>
        <w:t xml:space="preserve"> 37 500 livres de café le 30 septembre. S’il ne possède pas le café, n’étant pas producteur, ou s’il lui est très couteux d’effectuer la livraison à l’entrepôt désigné par la bourse, il peu se dégager de son contrat à l’échéance de la façon suivante : il s’engage dans un second contrat à terme qui l’oblige </w:t>
      </w:r>
      <w:r w:rsidRPr="004E2B0C">
        <w:rPr>
          <w:rFonts w:ascii="Times New Roman" w:hAnsi="Times New Roman" w:cs="Times New Roman"/>
          <w:b/>
        </w:rPr>
        <w:t xml:space="preserve">à acheter la même quantité du café </w:t>
      </w:r>
      <w:r w:rsidRPr="004E2B0C">
        <w:rPr>
          <w:rFonts w:ascii="Times New Roman" w:hAnsi="Times New Roman" w:cs="Times New Roman"/>
        </w:rPr>
        <w:t xml:space="preserve">(37 500 livre de café) à la même date. Donc l’investisseur s’engage à livrer et à acheter une même quantité du même </w:t>
      </w:r>
      <w:r w:rsidRPr="004E2B0C">
        <w:rPr>
          <w:rFonts w:ascii="Times New Roman" w:hAnsi="Times New Roman" w:cs="Times New Roman"/>
        </w:rPr>
        <w:lastRenderedPageBreak/>
        <w:t>produit à une même date. Du fait, les deux obligations s’annulent en termes de café à livrer et à accepter.</w:t>
      </w:r>
    </w:p>
    <w:p w:rsidR="00B15731" w:rsidRPr="004E2B0C" w:rsidRDefault="00B15731" w:rsidP="00B15731">
      <w:pPr>
        <w:pStyle w:val="Paragraphedeliste"/>
        <w:jc w:val="both"/>
        <w:rPr>
          <w:rFonts w:ascii="Times New Roman" w:hAnsi="Times New Roman" w:cs="Times New Roman"/>
        </w:rPr>
      </w:pPr>
      <w:r w:rsidRPr="004E2B0C">
        <w:rPr>
          <w:rFonts w:ascii="Times New Roman" w:hAnsi="Times New Roman" w:cs="Times New Roman"/>
        </w:rPr>
        <w:t>Il ne reste qu’à régler la différence de prix entre les deux contrats, puisqu’il ya de forte chance que le nouveau prix à terme soit différent du prix à terme négocié lors de la première transaction.</w:t>
      </w:r>
    </w:p>
    <w:p w:rsidR="00B15731" w:rsidRDefault="00B15731" w:rsidP="00B15731">
      <w:pPr>
        <w:jc w:val="both"/>
        <w:rPr>
          <w:rFonts w:ascii="Times New Roman" w:hAnsi="Times New Roman" w:cs="Times New Roman"/>
          <w:sz w:val="24"/>
          <w:szCs w:val="24"/>
        </w:rPr>
      </w:pPr>
      <w:r w:rsidRPr="00E96D3B">
        <w:rPr>
          <w:rFonts w:ascii="Times New Roman" w:hAnsi="Times New Roman" w:cs="Times New Roman"/>
          <w:sz w:val="24"/>
          <w:szCs w:val="24"/>
        </w:rPr>
        <w:t xml:space="preserve">Donc, </w:t>
      </w:r>
      <w:r w:rsidRPr="00E96D3B">
        <w:rPr>
          <w:rFonts w:ascii="Times New Roman" w:hAnsi="Times New Roman" w:cs="Times New Roman"/>
          <w:b/>
          <w:sz w:val="24"/>
          <w:szCs w:val="24"/>
        </w:rPr>
        <w:t xml:space="preserve">la fermeture d’une position </w:t>
      </w:r>
      <w:r w:rsidRPr="00E96D3B">
        <w:rPr>
          <w:rFonts w:ascii="Times New Roman" w:hAnsi="Times New Roman" w:cs="Times New Roman"/>
          <w:sz w:val="24"/>
          <w:szCs w:val="24"/>
        </w:rPr>
        <w:t>signifie prendre une position  opposée sur un même</w:t>
      </w:r>
      <w:r>
        <w:rPr>
          <w:rFonts w:ascii="Times New Roman" w:hAnsi="Times New Roman" w:cs="Times New Roman"/>
          <w:sz w:val="24"/>
          <w:szCs w:val="24"/>
        </w:rPr>
        <w:t xml:space="preserve"> </w:t>
      </w:r>
      <w:r w:rsidRPr="00E96D3B">
        <w:rPr>
          <w:rFonts w:ascii="Times New Roman" w:hAnsi="Times New Roman" w:cs="Times New Roman"/>
          <w:sz w:val="24"/>
          <w:szCs w:val="24"/>
        </w:rPr>
        <w:t>contrat (même actif sous-jacent) afin de ne pas avoir à acheter ou livrer cet actif.</w:t>
      </w:r>
    </w:p>
    <w:p w:rsidR="00B15731" w:rsidRPr="00D64A4C" w:rsidRDefault="00B15731" w:rsidP="00B15731">
      <w:pPr>
        <w:jc w:val="both"/>
        <w:rPr>
          <w:rFonts w:ascii="Times New Roman" w:hAnsi="Times New Roman" w:cs="Times New Roman"/>
          <w:b/>
          <w:sz w:val="28"/>
          <w:szCs w:val="28"/>
        </w:rPr>
      </w:pPr>
      <w:r>
        <w:rPr>
          <w:rFonts w:ascii="Times New Roman" w:hAnsi="Times New Roman" w:cs="Times New Roman"/>
          <w:b/>
          <w:sz w:val="28"/>
          <w:szCs w:val="28"/>
        </w:rPr>
        <w:t>1-7-</w:t>
      </w:r>
      <w:r w:rsidRPr="00D64A4C">
        <w:rPr>
          <w:rFonts w:ascii="Times New Roman" w:hAnsi="Times New Roman" w:cs="Times New Roman"/>
          <w:b/>
          <w:sz w:val="28"/>
          <w:szCs w:val="28"/>
        </w:rPr>
        <w:t>Le dépôt de garantie et les appelles de marge </w:t>
      </w:r>
    </w:p>
    <w:p w:rsidR="00B15731" w:rsidRPr="00027D4E" w:rsidRDefault="00B15731" w:rsidP="00B15731">
      <w:pPr>
        <w:jc w:val="both"/>
        <w:rPr>
          <w:rFonts w:ascii="Times New Roman" w:hAnsi="Times New Roman" w:cs="Times New Roman"/>
          <w:sz w:val="24"/>
          <w:szCs w:val="24"/>
        </w:rPr>
      </w:pPr>
      <w:r w:rsidRPr="00E96D3B">
        <w:rPr>
          <w:rFonts w:ascii="Times New Roman" w:hAnsi="Times New Roman" w:cs="Times New Roman"/>
          <w:b/>
          <w:sz w:val="24"/>
          <w:szCs w:val="24"/>
        </w:rPr>
        <w:t>Dépôt de garantie (marge initiale) :</w:t>
      </w:r>
      <w:r w:rsidRPr="00CB4A31">
        <w:t xml:space="preserve"> </w:t>
      </w:r>
      <w:r w:rsidRPr="00CB4A31">
        <w:rPr>
          <w:rFonts w:ascii="Times New Roman" w:hAnsi="Times New Roman" w:cs="Times New Roman"/>
          <w:sz w:val="24"/>
          <w:szCs w:val="24"/>
        </w:rPr>
        <w:t xml:space="preserve">C’est le montant de dépôt exigé préalablement à toute négociation. Il sera bloqué sur votre compte. Votre intermédiaire (un prestataire de service d’investissement) doit verser lui-même un dépôt de garantie auprès de la chambre de compensation et se doit de demander à son client au minimum le même montant de dépôt cette marge initiale est de l’ordre de 5 à 10% de la valeur du contrat. </w:t>
      </w:r>
      <w:r>
        <w:rPr>
          <w:rFonts w:ascii="Times New Roman" w:hAnsi="Times New Roman" w:cs="Times New Roman"/>
          <w:sz w:val="24"/>
          <w:szCs w:val="24"/>
        </w:rPr>
        <w:t xml:space="preserve"> </w:t>
      </w:r>
      <w:r w:rsidRPr="00027D4E">
        <w:rPr>
          <w:rFonts w:ascii="Times New Roman" w:hAnsi="Times New Roman" w:cs="Times New Roman"/>
          <w:sz w:val="24"/>
          <w:szCs w:val="24"/>
        </w:rPr>
        <w:t>Votre intermédiaire financier peut accepter en garantie d’autres actifs que les espèces, tels que des titres de créance.</w:t>
      </w:r>
    </w:p>
    <w:p w:rsidR="00B15731" w:rsidRPr="00027D4E" w:rsidRDefault="00B15731" w:rsidP="00B15731">
      <w:pPr>
        <w:jc w:val="both"/>
        <w:rPr>
          <w:rFonts w:ascii="Times New Roman" w:hAnsi="Times New Roman" w:cs="Times New Roman"/>
          <w:sz w:val="24"/>
          <w:szCs w:val="24"/>
        </w:rPr>
      </w:pPr>
      <w:r w:rsidRPr="00E96D3B">
        <w:rPr>
          <w:rFonts w:ascii="Times New Roman" w:hAnsi="Times New Roman" w:cs="Times New Roman"/>
          <w:b/>
          <w:sz w:val="24"/>
          <w:szCs w:val="24"/>
        </w:rPr>
        <w:t xml:space="preserve">Appels de marge : </w:t>
      </w:r>
      <w:r w:rsidRPr="00027D4E">
        <w:rPr>
          <w:rFonts w:ascii="Times New Roman" w:hAnsi="Times New Roman" w:cs="Times New Roman"/>
          <w:sz w:val="24"/>
          <w:szCs w:val="24"/>
        </w:rPr>
        <w:t>Chaque jour après la clôture du marché, les positions des opérateurs sont fictivement liquidées sur la base du cours de compensation.  Pour chaque échéance la chambre de compensation calcule les pertes ou les gains potentiellement réalisés dans la journée sous forme d’un appel de marge qui correspond :</w:t>
      </w:r>
    </w:p>
    <w:p w:rsidR="00B15731" w:rsidRPr="00027D4E" w:rsidRDefault="00B15731" w:rsidP="00B15731">
      <w:pPr>
        <w:pStyle w:val="Paragraphedeliste"/>
        <w:numPr>
          <w:ilvl w:val="0"/>
          <w:numId w:val="4"/>
        </w:numPr>
        <w:jc w:val="both"/>
        <w:rPr>
          <w:rFonts w:ascii="Times New Roman" w:hAnsi="Times New Roman" w:cs="Times New Roman"/>
          <w:sz w:val="24"/>
          <w:szCs w:val="24"/>
        </w:rPr>
      </w:pPr>
      <w:r w:rsidRPr="00027D4E">
        <w:rPr>
          <w:rFonts w:ascii="Times New Roman" w:hAnsi="Times New Roman" w:cs="Times New Roman"/>
          <w:b/>
          <w:sz w:val="24"/>
          <w:szCs w:val="24"/>
        </w:rPr>
        <w:t xml:space="preserve">Le jour où la position est ouverte, </w:t>
      </w:r>
      <w:r w:rsidRPr="00027D4E">
        <w:rPr>
          <w:rFonts w:ascii="Times New Roman" w:hAnsi="Times New Roman" w:cs="Times New Roman"/>
          <w:sz w:val="24"/>
          <w:szCs w:val="24"/>
        </w:rPr>
        <w:t>à la différence entre le cours de compensation du jour et le  cours auquel a eu lieu la transaction ;</w:t>
      </w:r>
    </w:p>
    <w:p w:rsidR="00B15731" w:rsidRPr="00027D4E" w:rsidRDefault="00B15731" w:rsidP="00B15731">
      <w:pPr>
        <w:pStyle w:val="Paragraphedeliste"/>
        <w:numPr>
          <w:ilvl w:val="0"/>
          <w:numId w:val="4"/>
        </w:numPr>
        <w:jc w:val="both"/>
        <w:rPr>
          <w:rFonts w:ascii="Times New Roman" w:hAnsi="Times New Roman" w:cs="Times New Roman"/>
          <w:b/>
          <w:sz w:val="24"/>
          <w:szCs w:val="24"/>
        </w:rPr>
      </w:pPr>
      <w:r w:rsidRPr="00027D4E">
        <w:rPr>
          <w:rFonts w:ascii="Times New Roman" w:hAnsi="Times New Roman" w:cs="Times New Roman"/>
          <w:b/>
          <w:sz w:val="24"/>
          <w:szCs w:val="24"/>
        </w:rPr>
        <w:t xml:space="preserve">Les jours suivants, </w:t>
      </w:r>
      <w:r w:rsidRPr="00027D4E">
        <w:rPr>
          <w:rFonts w:ascii="Times New Roman" w:hAnsi="Times New Roman" w:cs="Times New Roman"/>
          <w:sz w:val="24"/>
          <w:szCs w:val="24"/>
        </w:rPr>
        <w:t>à la différence entre  le cours de compensation du jour et le cours de compensation de la veille ;</w:t>
      </w:r>
    </w:p>
    <w:p w:rsidR="00B15731" w:rsidRPr="00027D4E" w:rsidRDefault="00B15731" w:rsidP="00B15731">
      <w:pPr>
        <w:pStyle w:val="Paragraphedeliste"/>
        <w:numPr>
          <w:ilvl w:val="0"/>
          <w:numId w:val="4"/>
        </w:numPr>
        <w:jc w:val="both"/>
        <w:rPr>
          <w:rFonts w:ascii="Times New Roman" w:hAnsi="Times New Roman" w:cs="Times New Roman"/>
          <w:sz w:val="24"/>
          <w:szCs w:val="24"/>
        </w:rPr>
      </w:pPr>
      <w:r w:rsidRPr="00027D4E">
        <w:rPr>
          <w:rFonts w:ascii="Times New Roman" w:hAnsi="Times New Roman" w:cs="Times New Roman"/>
          <w:b/>
          <w:sz w:val="24"/>
          <w:szCs w:val="24"/>
        </w:rPr>
        <w:t xml:space="preserve">Le jour où la position est clôturée, </w:t>
      </w:r>
      <w:r w:rsidRPr="00027D4E">
        <w:rPr>
          <w:rFonts w:ascii="Times New Roman" w:hAnsi="Times New Roman" w:cs="Times New Roman"/>
          <w:sz w:val="24"/>
          <w:szCs w:val="24"/>
        </w:rPr>
        <w:t>à la différence entre le cours auquel a eu lieu  la transaction et le cours de compensation  de la veille.</w:t>
      </w:r>
    </w:p>
    <w:p w:rsidR="00B15731" w:rsidRPr="00027D4E" w:rsidRDefault="00B15731" w:rsidP="00B15731">
      <w:pPr>
        <w:ind w:firstLine="360"/>
        <w:jc w:val="both"/>
        <w:rPr>
          <w:rFonts w:ascii="Times New Roman" w:hAnsi="Times New Roman" w:cs="Times New Roman"/>
          <w:sz w:val="24"/>
          <w:szCs w:val="24"/>
        </w:rPr>
      </w:pPr>
      <w:r w:rsidRPr="00027D4E">
        <w:rPr>
          <w:rFonts w:ascii="Times New Roman" w:hAnsi="Times New Roman" w:cs="Times New Roman"/>
          <w:sz w:val="24"/>
          <w:szCs w:val="24"/>
        </w:rPr>
        <w:t xml:space="preserve">Les appels de marge sont quotidiennement débités ou crédités par l’intermédiaire auprès du donneur d’ordres afin de couvrir la dépréciation ou de lui faire bénéficier de l’appréciation des </w:t>
      </w:r>
      <w:r>
        <w:rPr>
          <w:rFonts w:ascii="Times New Roman" w:hAnsi="Times New Roman" w:cs="Times New Roman"/>
          <w:sz w:val="24"/>
          <w:szCs w:val="24"/>
        </w:rPr>
        <w:t xml:space="preserve">contrats qu’il a en position. Si le </w:t>
      </w:r>
      <w:r w:rsidRPr="00027D4E">
        <w:rPr>
          <w:rFonts w:ascii="Times New Roman" w:hAnsi="Times New Roman" w:cs="Times New Roman"/>
          <w:sz w:val="24"/>
          <w:szCs w:val="24"/>
        </w:rPr>
        <w:t>compte n’est pas suffisamment</w:t>
      </w:r>
      <w:r>
        <w:rPr>
          <w:rFonts w:ascii="Times New Roman" w:hAnsi="Times New Roman" w:cs="Times New Roman"/>
          <w:sz w:val="24"/>
          <w:szCs w:val="24"/>
        </w:rPr>
        <w:t xml:space="preserve"> </w:t>
      </w:r>
      <w:r w:rsidRPr="00027D4E">
        <w:rPr>
          <w:rFonts w:ascii="Times New Roman" w:hAnsi="Times New Roman" w:cs="Times New Roman"/>
          <w:sz w:val="24"/>
          <w:szCs w:val="24"/>
        </w:rPr>
        <w:t xml:space="preserve">approvisionné pour faire face à l’appel de marge, l’intermédiaire est en droit de solder tout ou partie de la position et d’utiliser le dépôt de garantie pour régler l’appel de marge.              </w:t>
      </w:r>
    </w:p>
    <w:p w:rsidR="00B15731" w:rsidRPr="004851D5" w:rsidRDefault="00B15731" w:rsidP="00B1573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027D4E">
        <w:rPr>
          <w:rFonts w:ascii="Times New Roman" w:hAnsi="Times New Roman" w:cs="Times New Roman"/>
          <w:b/>
          <w:sz w:val="24"/>
          <w:szCs w:val="24"/>
        </w:rPr>
        <w:t>Exemple</w:t>
      </w:r>
      <w:r>
        <w:rPr>
          <w:rFonts w:ascii="Times New Roman" w:hAnsi="Times New Roman" w:cs="Times New Roman"/>
          <w:b/>
          <w:sz w:val="24"/>
          <w:szCs w:val="24"/>
        </w:rPr>
        <w:t> </w:t>
      </w:r>
      <w:r w:rsidRPr="00027D4E">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Un investisseur prend une position longue (acheteur) dans un contrat à terme sur le blé qui possède les caractéristiques énumérées dans le tableau suivant :</w:t>
      </w:r>
    </w:p>
    <w:tbl>
      <w:tblPr>
        <w:tblStyle w:val="Grilledutableau"/>
        <w:tblW w:w="0" w:type="auto"/>
        <w:tblLook w:val="04A0"/>
      </w:tblPr>
      <w:tblGrid>
        <w:gridCol w:w="1910"/>
        <w:gridCol w:w="1925"/>
        <w:gridCol w:w="1854"/>
        <w:gridCol w:w="1707"/>
        <w:gridCol w:w="1892"/>
      </w:tblGrid>
      <w:tr w:rsidR="00B15731" w:rsidTr="0002631E">
        <w:tc>
          <w:tcPr>
            <w:tcW w:w="2121" w:type="dxa"/>
          </w:tcPr>
          <w:p w:rsidR="00B15731" w:rsidRDefault="00B15731" w:rsidP="0002631E">
            <w:pPr>
              <w:jc w:val="both"/>
              <w:rPr>
                <w:rFonts w:ascii="Times New Roman" w:hAnsi="Times New Roman" w:cs="Times New Roman"/>
                <w:sz w:val="24"/>
                <w:szCs w:val="24"/>
              </w:rPr>
            </w:pPr>
          </w:p>
        </w:tc>
        <w:tc>
          <w:tcPr>
            <w:tcW w:w="2121"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 xml:space="preserve">Engagement </w:t>
            </w:r>
          </w:p>
        </w:tc>
        <w:tc>
          <w:tcPr>
            <w:tcW w:w="2121"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 xml:space="preserve">Quantité </w:t>
            </w:r>
          </w:p>
        </w:tc>
        <w:tc>
          <w:tcPr>
            <w:tcW w:w="2121"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 xml:space="preserve">Prix </w:t>
            </w:r>
          </w:p>
        </w:tc>
        <w:tc>
          <w:tcPr>
            <w:tcW w:w="2122"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Date d’échéance</w:t>
            </w:r>
          </w:p>
        </w:tc>
      </w:tr>
      <w:tr w:rsidR="00B15731" w:rsidTr="0002631E">
        <w:tc>
          <w:tcPr>
            <w:tcW w:w="2121"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 xml:space="preserve">Investisseur </w:t>
            </w:r>
          </w:p>
        </w:tc>
        <w:tc>
          <w:tcPr>
            <w:tcW w:w="2121"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 xml:space="preserve">Acheter </w:t>
            </w:r>
          </w:p>
        </w:tc>
        <w:tc>
          <w:tcPr>
            <w:tcW w:w="2121"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5000 boisseaux</w:t>
            </w:r>
          </w:p>
        </w:tc>
        <w:tc>
          <w:tcPr>
            <w:tcW w:w="2121"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3,50 /b</w:t>
            </w:r>
          </w:p>
        </w:tc>
        <w:tc>
          <w:tcPr>
            <w:tcW w:w="2122" w:type="dxa"/>
          </w:tcPr>
          <w:p w:rsidR="00B15731" w:rsidRDefault="00B15731" w:rsidP="0002631E">
            <w:pPr>
              <w:jc w:val="both"/>
              <w:rPr>
                <w:rFonts w:ascii="Times New Roman" w:hAnsi="Times New Roman" w:cs="Times New Roman"/>
                <w:sz w:val="24"/>
                <w:szCs w:val="24"/>
              </w:rPr>
            </w:pPr>
            <w:r>
              <w:rPr>
                <w:rFonts w:ascii="Times New Roman" w:hAnsi="Times New Roman" w:cs="Times New Roman"/>
                <w:sz w:val="24"/>
                <w:szCs w:val="24"/>
              </w:rPr>
              <w:t>15 Décembre</w:t>
            </w:r>
          </w:p>
        </w:tc>
      </w:tr>
    </w:tbl>
    <w:p w:rsidR="00B15731" w:rsidRDefault="00B15731" w:rsidP="00B15731">
      <w:pPr>
        <w:jc w:val="both"/>
        <w:rPr>
          <w:rFonts w:ascii="Times New Roman" w:hAnsi="Times New Roman" w:cs="Times New Roman"/>
          <w:sz w:val="24"/>
          <w:szCs w:val="24"/>
        </w:rPr>
      </w:pPr>
      <w:r>
        <w:rPr>
          <w:rFonts w:ascii="Times New Roman" w:hAnsi="Times New Roman" w:cs="Times New Roman"/>
          <w:sz w:val="24"/>
          <w:szCs w:val="24"/>
        </w:rPr>
        <w:t>Nous somme le 1</w:t>
      </w:r>
      <w:r w:rsidRPr="00C63487">
        <w:rPr>
          <w:rFonts w:ascii="Times New Roman" w:hAnsi="Times New Roman" w:cs="Times New Roman"/>
          <w:sz w:val="24"/>
          <w:szCs w:val="24"/>
          <w:vertAlign w:val="superscript"/>
        </w:rPr>
        <w:t>er</w:t>
      </w:r>
      <w:r>
        <w:rPr>
          <w:rFonts w:ascii="Times New Roman" w:hAnsi="Times New Roman" w:cs="Times New Roman"/>
          <w:sz w:val="24"/>
          <w:szCs w:val="24"/>
        </w:rPr>
        <w:t xml:space="preserve"> février et l’investisseur décide de prendre une position acheteur dans ce contrat. Le courtier (ou le prestataire de service d’investissement) lui demande une mise de fond de 5000 €. L’investisseur doit verser immédiatement la somme pour pouvoir prendre position. En ce moment le contrat vaut 3,50 € X 5000 b = 17 500 €. Le prix du contrat à terme échéant décembre variera quelque peu chaque jour en fonction des anticipations des </w:t>
      </w:r>
      <w:r>
        <w:rPr>
          <w:rFonts w:ascii="Times New Roman" w:hAnsi="Times New Roman" w:cs="Times New Roman"/>
          <w:sz w:val="24"/>
          <w:szCs w:val="24"/>
        </w:rPr>
        <w:lastRenderedPageBreak/>
        <w:t xml:space="preserve">investisseurs. Supposant que les variations des prix pour trois jours consécutives sont les suivants : 2 février : 3,40 €           3 février : 3,60 €                    </w:t>
      </w:r>
    </w:p>
    <w:p w:rsidR="00B15731" w:rsidRPr="00C4105E" w:rsidRDefault="00B15731" w:rsidP="00B15731">
      <w:pPr>
        <w:pStyle w:val="Paragraphedeliste"/>
        <w:numPr>
          <w:ilvl w:val="0"/>
          <w:numId w:val="5"/>
        </w:numPr>
        <w:tabs>
          <w:tab w:val="left" w:pos="3120"/>
        </w:tabs>
        <w:jc w:val="both"/>
        <w:rPr>
          <w:rFonts w:ascii="Times New Roman" w:hAnsi="Times New Roman" w:cs="Times New Roman"/>
          <w:sz w:val="24"/>
          <w:szCs w:val="24"/>
        </w:rPr>
      </w:pPr>
      <w:r w:rsidRPr="00C4105E">
        <w:rPr>
          <w:rFonts w:ascii="Times New Roman" w:hAnsi="Times New Roman" w:cs="Times New Roman"/>
          <w:b/>
          <w:sz w:val="24"/>
          <w:szCs w:val="24"/>
        </w:rPr>
        <w:t>1</w:t>
      </w:r>
      <w:r w:rsidRPr="00C4105E">
        <w:rPr>
          <w:rFonts w:ascii="Times New Roman" w:hAnsi="Times New Roman" w:cs="Times New Roman"/>
          <w:b/>
          <w:sz w:val="24"/>
          <w:szCs w:val="24"/>
          <w:vertAlign w:val="superscript"/>
        </w:rPr>
        <w:t>er</w:t>
      </w:r>
      <w:r w:rsidRPr="00C4105E">
        <w:rPr>
          <w:rFonts w:ascii="Times New Roman" w:hAnsi="Times New Roman" w:cs="Times New Roman"/>
          <w:b/>
          <w:sz w:val="24"/>
          <w:szCs w:val="24"/>
        </w:rPr>
        <w:t xml:space="preserve"> février :</w:t>
      </w:r>
      <w:r w:rsidRPr="00C4105E">
        <w:rPr>
          <w:rFonts w:ascii="Times New Roman" w:hAnsi="Times New Roman" w:cs="Times New Roman"/>
          <w:sz w:val="24"/>
          <w:szCs w:val="24"/>
        </w:rPr>
        <w:t xml:space="preserve"> valeur initiale du contrat 3,50 € X 5000 b = 17 500 €.</w:t>
      </w:r>
    </w:p>
    <w:p w:rsidR="00B15731" w:rsidRPr="00C4105E" w:rsidRDefault="00B15731" w:rsidP="00B15731">
      <w:pPr>
        <w:pStyle w:val="Paragraphedeliste"/>
        <w:tabs>
          <w:tab w:val="left" w:pos="3120"/>
        </w:tabs>
        <w:jc w:val="both"/>
        <w:rPr>
          <w:rFonts w:ascii="Times New Roman" w:hAnsi="Times New Roman" w:cs="Times New Roman"/>
          <w:sz w:val="24"/>
          <w:szCs w:val="24"/>
        </w:rPr>
      </w:pPr>
      <w:r w:rsidRPr="00C4105E">
        <w:rPr>
          <w:rFonts w:ascii="Times New Roman" w:hAnsi="Times New Roman" w:cs="Times New Roman"/>
          <w:sz w:val="24"/>
          <w:szCs w:val="24"/>
        </w:rPr>
        <w:t>Investissement (mise en fond pour la marge de : 5000 €.</w:t>
      </w:r>
    </w:p>
    <w:p w:rsidR="00B15731" w:rsidRDefault="00B15731" w:rsidP="00B15731">
      <w:pPr>
        <w:pStyle w:val="Paragraphedeliste"/>
        <w:tabs>
          <w:tab w:val="left" w:pos="3120"/>
        </w:tabs>
        <w:jc w:val="both"/>
        <w:rPr>
          <w:rFonts w:ascii="Times New Roman" w:hAnsi="Times New Roman" w:cs="Times New Roman"/>
          <w:i/>
          <w:sz w:val="24"/>
          <w:szCs w:val="24"/>
        </w:rPr>
      </w:pPr>
      <w:r w:rsidRPr="00C4105E">
        <w:rPr>
          <w:rFonts w:ascii="Times New Roman" w:hAnsi="Times New Roman" w:cs="Times New Roman"/>
          <w:i/>
          <w:sz w:val="24"/>
          <w:szCs w:val="24"/>
        </w:rPr>
        <w:t>Solde du compte de marge 5000 €.</w:t>
      </w:r>
    </w:p>
    <w:p w:rsidR="00B15731" w:rsidRPr="00C4105E" w:rsidRDefault="00B15731" w:rsidP="00B15731">
      <w:pPr>
        <w:pStyle w:val="Paragraphedeliste"/>
        <w:tabs>
          <w:tab w:val="left" w:pos="3120"/>
        </w:tabs>
        <w:jc w:val="both"/>
        <w:rPr>
          <w:rFonts w:ascii="Times New Roman" w:hAnsi="Times New Roman" w:cs="Times New Roman"/>
          <w:i/>
          <w:sz w:val="24"/>
          <w:szCs w:val="24"/>
        </w:rPr>
      </w:pPr>
    </w:p>
    <w:p w:rsidR="00B15731" w:rsidRPr="00C4105E" w:rsidRDefault="00B15731" w:rsidP="00B15731">
      <w:pPr>
        <w:pStyle w:val="Paragraphedeliste"/>
        <w:numPr>
          <w:ilvl w:val="0"/>
          <w:numId w:val="6"/>
        </w:numPr>
        <w:tabs>
          <w:tab w:val="left" w:pos="3120"/>
        </w:tabs>
        <w:jc w:val="both"/>
        <w:rPr>
          <w:rFonts w:ascii="Times New Roman" w:hAnsi="Times New Roman" w:cs="Times New Roman"/>
          <w:sz w:val="24"/>
          <w:szCs w:val="24"/>
        </w:rPr>
      </w:pPr>
      <w:r w:rsidRPr="00C4105E">
        <w:rPr>
          <w:rFonts w:ascii="Times New Roman" w:hAnsi="Times New Roman" w:cs="Times New Roman"/>
          <w:b/>
          <w:sz w:val="24"/>
          <w:szCs w:val="24"/>
        </w:rPr>
        <w:t xml:space="preserve">Le 2 février : </w:t>
      </w:r>
      <w:r w:rsidRPr="00C4105E">
        <w:rPr>
          <w:rFonts w:ascii="Times New Roman" w:hAnsi="Times New Roman" w:cs="Times New Roman"/>
          <w:sz w:val="24"/>
          <w:szCs w:val="24"/>
        </w:rPr>
        <w:t>nouvelle valeur du contrat</w:t>
      </w:r>
      <w:r>
        <w:rPr>
          <w:rFonts w:ascii="Times New Roman" w:hAnsi="Times New Roman" w:cs="Times New Roman"/>
          <w:sz w:val="24"/>
          <w:szCs w:val="24"/>
        </w:rPr>
        <w:t xml:space="preserve"> =</w:t>
      </w:r>
      <w:r w:rsidRPr="00C4105E">
        <w:rPr>
          <w:rFonts w:ascii="Times New Roman" w:hAnsi="Times New Roman" w:cs="Times New Roman"/>
          <w:sz w:val="24"/>
          <w:szCs w:val="24"/>
        </w:rPr>
        <w:t xml:space="preserve"> 5000 X 3,40 € = 17 000 € </w:t>
      </w:r>
    </w:p>
    <w:p w:rsidR="00B15731" w:rsidRPr="00434BAB" w:rsidRDefault="00B15731" w:rsidP="00B15731">
      <w:pPr>
        <w:pStyle w:val="Paragraphedeliste"/>
        <w:tabs>
          <w:tab w:val="left" w:pos="3120"/>
        </w:tabs>
        <w:jc w:val="both"/>
        <w:rPr>
          <w:rFonts w:ascii="Times New Roman" w:hAnsi="Times New Roman" w:cs="Times New Roman"/>
          <w:sz w:val="24"/>
          <w:szCs w:val="24"/>
        </w:rPr>
      </w:pPr>
      <w:r w:rsidRPr="00C4105E">
        <w:rPr>
          <w:rFonts w:ascii="Times New Roman" w:hAnsi="Times New Roman" w:cs="Times New Roman"/>
          <w:b/>
          <w:sz w:val="24"/>
          <w:szCs w:val="24"/>
        </w:rPr>
        <w:t xml:space="preserve">Perte encourue : </w:t>
      </w:r>
      <w:r w:rsidRPr="00434BAB">
        <w:rPr>
          <w:rFonts w:ascii="Times New Roman" w:hAnsi="Times New Roman" w:cs="Times New Roman"/>
          <w:sz w:val="24"/>
          <w:szCs w:val="24"/>
        </w:rPr>
        <w:t>17 000 € – 17 500 € = - 500 €</w:t>
      </w:r>
    </w:p>
    <w:p w:rsidR="00B15731" w:rsidRDefault="00B15731" w:rsidP="00B15731">
      <w:pPr>
        <w:pStyle w:val="Paragraphedeliste"/>
        <w:tabs>
          <w:tab w:val="left" w:pos="3120"/>
        </w:tabs>
        <w:jc w:val="both"/>
        <w:rPr>
          <w:rFonts w:ascii="Times New Roman" w:hAnsi="Times New Roman" w:cs="Times New Roman"/>
          <w:b/>
          <w:sz w:val="24"/>
          <w:szCs w:val="24"/>
        </w:rPr>
      </w:pPr>
      <w:r w:rsidRPr="00C4105E">
        <w:rPr>
          <w:rFonts w:ascii="Times New Roman" w:hAnsi="Times New Roman" w:cs="Times New Roman"/>
          <w:sz w:val="24"/>
          <w:szCs w:val="24"/>
        </w:rPr>
        <w:t xml:space="preserve">Le courtier doit retirer 500 € du compte de son client et les verser à la chambre de compensation. </w:t>
      </w:r>
      <w:r>
        <w:rPr>
          <w:rFonts w:ascii="Times New Roman" w:hAnsi="Times New Roman" w:cs="Times New Roman"/>
          <w:sz w:val="24"/>
          <w:szCs w:val="24"/>
        </w:rPr>
        <w:t>Et s</w:t>
      </w:r>
      <w:r w:rsidRPr="00C4105E">
        <w:rPr>
          <w:rFonts w:ascii="Times New Roman" w:hAnsi="Times New Roman" w:cs="Times New Roman"/>
          <w:sz w:val="24"/>
          <w:szCs w:val="24"/>
        </w:rPr>
        <w:t xml:space="preserve">i la marge du client est alors insuffisante suivant les conditions en vigueur, le courtier procédera ensuite à </w:t>
      </w:r>
      <w:r w:rsidRPr="00C4105E">
        <w:rPr>
          <w:rFonts w:ascii="Times New Roman" w:hAnsi="Times New Roman" w:cs="Times New Roman"/>
          <w:b/>
          <w:sz w:val="24"/>
          <w:szCs w:val="24"/>
        </w:rPr>
        <w:t>un appel de marge</w:t>
      </w:r>
      <w:r>
        <w:rPr>
          <w:rFonts w:ascii="Times New Roman" w:hAnsi="Times New Roman" w:cs="Times New Roman"/>
          <w:b/>
          <w:sz w:val="24"/>
          <w:szCs w:val="24"/>
        </w:rPr>
        <w:t>.</w:t>
      </w:r>
    </w:p>
    <w:p w:rsidR="00B15731" w:rsidRDefault="00B15731" w:rsidP="00B15731">
      <w:pPr>
        <w:pStyle w:val="Paragraphedeliste"/>
        <w:tabs>
          <w:tab w:val="left" w:pos="3120"/>
        </w:tabs>
        <w:jc w:val="both"/>
        <w:rPr>
          <w:rFonts w:ascii="Times New Roman" w:hAnsi="Times New Roman" w:cs="Times New Roman"/>
          <w:b/>
          <w:sz w:val="24"/>
          <w:szCs w:val="24"/>
        </w:rPr>
      </w:pPr>
      <w:r>
        <w:rPr>
          <w:rFonts w:ascii="Times New Roman" w:hAnsi="Times New Roman" w:cs="Times New Roman"/>
          <w:b/>
          <w:sz w:val="24"/>
          <w:szCs w:val="24"/>
        </w:rPr>
        <w:t xml:space="preserve">Solde du compte de marge : </w:t>
      </w:r>
      <w:r w:rsidRPr="00434BAB">
        <w:rPr>
          <w:rFonts w:ascii="Times New Roman" w:hAnsi="Times New Roman" w:cs="Times New Roman"/>
          <w:sz w:val="24"/>
          <w:szCs w:val="24"/>
        </w:rPr>
        <w:t>5000 € – 500 € = 4500 €.</w:t>
      </w:r>
      <w:r>
        <w:rPr>
          <w:rFonts w:ascii="Times New Roman" w:hAnsi="Times New Roman" w:cs="Times New Roman"/>
          <w:b/>
          <w:sz w:val="24"/>
          <w:szCs w:val="24"/>
        </w:rPr>
        <w:t xml:space="preserve"> </w:t>
      </w:r>
    </w:p>
    <w:p w:rsidR="00B15731" w:rsidRDefault="00B15731" w:rsidP="00B15731">
      <w:pPr>
        <w:pStyle w:val="Paragraphedeliste"/>
        <w:tabs>
          <w:tab w:val="left" w:pos="3120"/>
        </w:tabs>
        <w:jc w:val="both"/>
        <w:rPr>
          <w:rFonts w:ascii="Times New Roman" w:hAnsi="Times New Roman" w:cs="Times New Roman"/>
          <w:sz w:val="24"/>
          <w:szCs w:val="24"/>
        </w:rPr>
      </w:pPr>
      <w:r w:rsidRPr="00434BAB">
        <w:rPr>
          <w:rFonts w:ascii="Times New Roman" w:hAnsi="Times New Roman" w:cs="Times New Roman"/>
          <w:sz w:val="24"/>
          <w:szCs w:val="24"/>
        </w:rPr>
        <w:t xml:space="preserve">Si la marge ne doit jamais tomber sous le niveau de marge de départ, alors il y a appel de marge de 500 € que le client devra payer avant l’ouverture des marchés le lendemain.  </w:t>
      </w:r>
    </w:p>
    <w:p w:rsidR="00B15731" w:rsidRPr="00B15731" w:rsidRDefault="00B15731" w:rsidP="00B15731">
      <w:pPr>
        <w:pStyle w:val="Paragraphedeliste"/>
        <w:tabs>
          <w:tab w:val="left" w:pos="3120"/>
        </w:tabs>
        <w:jc w:val="both"/>
        <w:rPr>
          <w:rFonts w:ascii="Times New Roman" w:hAnsi="Times New Roman" w:cs="Times New Roman"/>
        </w:rPr>
      </w:pPr>
      <w:r w:rsidRPr="00B15731">
        <w:rPr>
          <w:rFonts w:ascii="Times New Roman" w:hAnsi="Times New Roman" w:cs="Times New Roman"/>
          <w:b/>
          <w:sz w:val="24"/>
          <w:szCs w:val="24"/>
        </w:rPr>
        <w:t>Solde de marge une fois que l’investisseur aura répondu :</w:t>
      </w:r>
      <w:r w:rsidRPr="00B15731">
        <w:rPr>
          <w:rFonts w:ascii="Times New Roman" w:hAnsi="Times New Roman" w:cs="Times New Roman"/>
          <w:sz w:val="24"/>
          <w:szCs w:val="24"/>
        </w:rPr>
        <w:t xml:space="preserve"> </w:t>
      </w:r>
      <w:r w:rsidRPr="00B15731">
        <w:rPr>
          <w:rFonts w:ascii="Times New Roman" w:hAnsi="Times New Roman" w:cs="Times New Roman"/>
        </w:rPr>
        <w:t xml:space="preserve">4 500 € + 500 € = 5000 €. </w:t>
      </w:r>
    </w:p>
    <w:p w:rsidR="00B15731" w:rsidRDefault="00B15731" w:rsidP="00B15731">
      <w:pPr>
        <w:pStyle w:val="Paragraphedeliste"/>
        <w:tabs>
          <w:tab w:val="left" w:pos="3120"/>
        </w:tabs>
        <w:jc w:val="both"/>
        <w:rPr>
          <w:rFonts w:ascii="Times New Roman" w:hAnsi="Times New Roman" w:cs="Times New Roman"/>
          <w:sz w:val="24"/>
          <w:szCs w:val="24"/>
        </w:rPr>
      </w:pPr>
    </w:p>
    <w:p w:rsidR="00B15731" w:rsidRDefault="00B15731" w:rsidP="00B15731">
      <w:pPr>
        <w:pStyle w:val="Paragraphedeliste"/>
        <w:numPr>
          <w:ilvl w:val="0"/>
          <w:numId w:val="7"/>
        </w:numPr>
        <w:tabs>
          <w:tab w:val="left" w:pos="3120"/>
        </w:tabs>
        <w:jc w:val="both"/>
        <w:rPr>
          <w:rFonts w:ascii="Times New Roman" w:hAnsi="Times New Roman" w:cs="Times New Roman"/>
          <w:sz w:val="24"/>
          <w:szCs w:val="24"/>
        </w:rPr>
      </w:pPr>
      <w:r w:rsidRPr="00434BAB">
        <w:rPr>
          <w:rFonts w:ascii="Times New Roman" w:hAnsi="Times New Roman" w:cs="Times New Roman"/>
          <w:b/>
          <w:sz w:val="24"/>
          <w:szCs w:val="24"/>
        </w:rPr>
        <w:t>Le 3 février :</w:t>
      </w:r>
      <w:r>
        <w:rPr>
          <w:rFonts w:ascii="Times New Roman" w:hAnsi="Times New Roman" w:cs="Times New Roman"/>
          <w:b/>
          <w:sz w:val="24"/>
          <w:szCs w:val="24"/>
        </w:rPr>
        <w:t xml:space="preserve"> </w:t>
      </w:r>
      <w:r w:rsidRPr="00434BAB">
        <w:rPr>
          <w:rFonts w:ascii="Times New Roman" w:hAnsi="Times New Roman" w:cs="Times New Roman"/>
          <w:sz w:val="24"/>
          <w:szCs w:val="24"/>
        </w:rPr>
        <w:t>nouvelle valeur du contrat </w:t>
      </w:r>
      <w:r>
        <w:rPr>
          <w:rFonts w:ascii="Times New Roman" w:hAnsi="Times New Roman" w:cs="Times New Roman"/>
          <w:sz w:val="24"/>
          <w:szCs w:val="24"/>
        </w:rPr>
        <w:t>= 5000 X 3,6</w:t>
      </w:r>
      <w:r w:rsidRPr="00434BAB">
        <w:rPr>
          <w:rFonts w:ascii="Times New Roman" w:hAnsi="Times New Roman" w:cs="Times New Roman"/>
          <w:sz w:val="24"/>
          <w:szCs w:val="24"/>
        </w:rPr>
        <w:t xml:space="preserve"> €</w:t>
      </w:r>
      <w:r>
        <w:rPr>
          <w:rFonts w:ascii="Times New Roman" w:hAnsi="Times New Roman" w:cs="Times New Roman"/>
          <w:sz w:val="24"/>
          <w:szCs w:val="24"/>
        </w:rPr>
        <w:t xml:space="preserve"> = 18 000 </w:t>
      </w:r>
      <w:r w:rsidRPr="00434BAB">
        <w:rPr>
          <w:rFonts w:ascii="Times New Roman" w:hAnsi="Times New Roman" w:cs="Times New Roman"/>
          <w:sz w:val="24"/>
          <w:szCs w:val="24"/>
        </w:rPr>
        <w:t>€</w:t>
      </w:r>
      <w:r>
        <w:rPr>
          <w:rFonts w:ascii="Times New Roman" w:hAnsi="Times New Roman" w:cs="Times New Roman"/>
          <w:sz w:val="24"/>
          <w:szCs w:val="24"/>
        </w:rPr>
        <w:t>.</w:t>
      </w:r>
    </w:p>
    <w:p w:rsidR="00B15731" w:rsidRDefault="00B15731" w:rsidP="00B15731">
      <w:pPr>
        <w:pStyle w:val="Paragraphedeliste"/>
        <w:tabs>
          <w:tab w:val="left" w:pos="3120"/>
        </w:tabs>
        <w:jc w:val="both"/>
        <w:rPr>
          <w:rFonts w:ascii="Times New Roman" w:hAnsi="Times New Roman" w:cs="Times New Roman"/>
          <w:sz w:val="24"/>
          <w:szCs w:val="24"/>
        </w:rPr>
      </w:pPr>
      <w:r>
        <w:rPr>
          <w:rFonts w:ascii="Times New Roman" w:hAnsi="Times New Roman" w:cs="Times New Roman"/>
          <w:b/>
          <w:sz w:val="24"/>
          <w:szCs w:val="24"/>
        </w:rPr>
        <w:t>Gain réalisé =</w:t>
      </w:r>
      <w:r>
        <w:rPr>
          <w:rFonts w:ascii="Times New Roman" w:hAnsi="Times New Roman" w:cs="Times New Roman"/>
          <w:sz w:val="24"/>
          <w:szCs w:val="24"/>
        </w:rPr>
        <w:t xml:space="preserve"> 18 000 </w:t>
      </w:r>
      <w:r w:rsidRPr="00434BAB">
        <w:rPr>
          <w:rFonts w:ascii="Times New Roman" w:hAnsi="Times New Roman" w:cs="Times New Roman"/>
          <w:sz w:val="24"/>
          <w:szCs w:val="24"/>
        </w:rPr>
        <w:t>€</w:t>
      </w:r>
      <w:r>
        <w:rPr>
          <w:rFonts w:ascii="Times New Roman" w:hAnsi="Times New Roman" w:cs="Times New Roman"/>
          <w:sz w:val="24"/>
          <w:szCs w:val="24"/>
        </w:rPr>
        <w:t xml:space="preserve"> - 17 000 </w:t>
      </w:r>
      <w:r w:rsidRPr="00434BAB">
        <w:rPr>
          <w:rFonts w:ascii="Times New Roman" w:hAnsi="Times New Roman" w:cs="Times New Roman"/>
          <w:sz w:val="24"/>
          <w:szCs w:val="24"/>
        </w:rPr>
        <w:t>€</w:t>
      </w:r>
      <w:r>
        <w:rPr>
          <w:rFonts w:ascii="Times New Roman" w:hAnsi="Times New Roman" w:cs="Times New Roman"/>
          <w:sz w:val="24"/>
          <w:szCs w:val="24"/>
        </w:rPr>
        <w:t xml:space="preserve"> = 1000</w:t>
      </w:r>
      <w:r w:rsidRPr="00434BAB">
        <w:rPr>
          <w:rFonts w:ascii="Times New Roman" w:hAnsi="Times New Roman" w:cs="Times New Roman"/>
          <w:sz w:val="24"/>
          <w:szCs w:val="24"/>
        </w:rPr>
        <w:t xml:space="preserve"> €</w:t>
      </w:r>
      <w:r>
        <w:rPr>
          <w:rFonts w:ascii="Times New Roman" w:hAnsi="Times New Roman" w:cs="Times New Roman"/>
          <w:sz w:val="24"/>
          <w:szCs w:val="24"/>
        </w:rPr>
        <w:t>. Ce gain (calculé et remis par la chambre de compensation sera déposé dans le compte de marge de l’investisseur qui pourra l’utiliser à sa guise.</w:t>
      </w:r>
    </w:p>
    <w:p w:rsidR="00B15731" w:rsidRDefault="00B15731" w:rsidP="00B15731">
      <w:pPr>
        <w:pStyle w:val="Paragraphedeliste"/>
        <w:tabs>
          <w:tab w:val="left" w:pos="3120"/>
        </w:tabs>
        <w:jc w:val="both"/>
        <w:rPr>
          <w:rFonts w:ascii="Times New Roman" w:hAnsi="Times New Roman" w:cs="Times New Roman"/>
          <w:sz w:val="24"/>
          <w:szCs w:val="24"/>
        </w:rPr>
      </w:pPr>
      <w:r>
        <w:rPr>
          <w:rFonts w:ascii="Times New Roman" w:hAnsi="Times New Roman" w:cs="Times New Roman"/>
          <w:b/>
          <w:sz w:val="24"/>
          <w:szCs w:val="24"/>
        </w:rPr>
        <w:t xml:space="preserve">Solde de la marge : 5000 </w:t>
      </w:r>
      <w:r w:rsidRPr="00434BA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+ 1000 </w:t>
      </w:r>
      <w:r w:rsidRPr="00434BAB">
        <w:rPr>
          <w:rFonts w:ascii="Times New Roman" w:hAnsi="Times New Roman" w:cs="Times New Roman"/>
          <w:sz w:val="24"/>
          <w:szCs w:val="24"/>
        </w:rPr>
        <w:t>€</w:t>
      </w:r>
      <w:r>
        <w:rPr>
          <w:rFonts w:ascii="Times New Roman" w:hAnsi="Times New Roman" w:cs="Times New Roman"/>
          <w:b/>
          <w:sz w:val="24"/>
          <w:szCs w:val="24"/>
        </w:rPr>
        <w:t xml:space="preserve"> = 6000 </w:t>
      </w:r>
      <w:r w:rsidRPr="00434BAB">
        <w:rPr>
          <w:rFonts w:ascii="Times New Roman" w:hAnsi="Times New Roman" w:cs="Times New Roman"/>
          <w:sz w:val="24"/>
          <w:szCs w:val="24"/>
        </w:rPr>
        <w:t>€</w:t>
      </w:r>
      <w:r>
        <w:rPr>
          <w:rFonts w:ascii="Times New Roman" w:hAnsi="Times New Roman" w:cs="Times New Roman"/>
          <w:sz w:val="24"/>
          <w:szCs w:val="24"/>
        </w:rPr>
        <w:t>.</w:t>
      </w:r>
    </w:p>
    <w:p w:rsidR="00B15731" w:rsidRPr="00B52A9A" w:rsidRDefault="00B15731" w:rsidP="00B15731">
      <w:pPr>
        <w:pStyle w:val="Sansinterligne"/>
        <w:rPr>
          <w:rFonts w:ascii="Times New Roman" w:hAnsi="Times New Roman" w:cs="Times New Roman"/>
          <w:b/>
          <w:sz w:val="24"/>
          <w:szCs w:val="24"/>
        </w:rPr>
      </w:pPr>
      <w:r w:rsidRPr="00B52A9A">
        <w:rPr>
          <w:rFonts w:ascii="Times New Roman" w:hAnsi="Times New Roman" w:cs="Times New Roman"/>
          <w:b/>
          <w:sz w:val="24"/>
          <w:szCs w:val="24"/>
        </w:rPr>
        <w:t>Représentation simplifiée du compte de marge du client</w:t>
      </w:r>
    </w:p>
    <w:tbl>
      <w:tblPr>
        <w:tblStyle w:val="Grilledutableau"/>
        <w:tblW w:w="0" w:type="auto"/>
        <w:tblLook w:val="04A0"/>
      </w:tblPr>
      <w:tblGrid>
        <w:gridCol w:w="4649"/>
        <w:gridCol w:w="4639"/>
      </w:tblGrid>
      <w:tr w:rsidR="00B15731" w:rsidTr="0002631E">
        <w:tc>
          <w:tcPr>
            <w:tcW w:w="10606" w:type="dxa"/>
            <w:gridSpan w:val="2"/>
          </w:tcPr>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                                                                     Compte de marge </w:t>
            </w:r>
            <w:r w:rsidRPr="00434BAB">
              <w:rPr>
                <w:rFonts w:ascii="Times New Roman" w:hAnsi="Times New Roman" w:cs="Times New Roman"/>
                <w:sz w:val="24"/>
                <w:szCs w:val="24"/>
              </w:rPr>
              <w:t>€</w:t>
            </w:r>
          </w:p>
        </w:tc>
      </w:tr>
      <w:tr w:rsidR="00B15731" w:rsidTr="0002631E">
        <w:tc>
          <w:tcPr>
            <w:tcW w:w="5303" w:type="dxa"/>
          </w:tcPr>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 Crédit (+)</w:t>
            </w:r>
          </w:p>
        </w:tc>
        <w:tc>
          <w:tcPr>
            <w:tcW w:w="5303" w:type="dxa"/>
          </w:tcPr>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 Débit (-)</w:t>
            </w:r>
          </w:p>
        </w:tc>
      </w:tr>
      <w:tr w:rsidR="00B15731" w:rsidTr="0002631E">
        <w:tc>
          <w:tcPr>
            <w:tcW w:w="5303" w:type="dxa"/>
          </w:tcPr>
          <w:p w:rsidR="00B15731" w:rsidRPr="00B52A9A" w:rsidRDefault="00B15731" w:rsidP="0002631E">
            <w:pPr>
              <w:tabs>
                <w:tab w:val="left" w:pos="3120"/>
              </w:tabs>
              <w:jc w:val="both"/>
              <w:rPr>
                <w:rFonts w:ascii="Times New Roman" w:hAnsi="Times New Roman" w:cs="Times New Roman"/>
                <w:b/>
                <w:sz w:val="24"/>
                <w:szCs w:val="24"/>
              </w:rPr>
            </w:pPr>
            <w:r w:rsidRPr="00B52A9A">
              <w:rPr>
                <w:rFonts w:ascii="Times New Roman" w:hAnsi="Times New Roman" w:cs="Times New Roman"/>
                <w:b/>
                <w:sz w:val="24"/>
                <w:szCs w:val="24"/>
              </w:rPr>
              <w:t>5000</w:t>
            </w:r>
          </w:p>
          <w:p w:rsidR="00B15731" w:rsidRDefault="00B15731" w:rsidP="0002631E">
            <w:pPr>
              <w:tabs>
                <w:tab w:val="left" w:pos="3120"/>
              </w:tabs>
              <w:jc w:val="both"/>
              <w:rPr>
                <w:rFonts w:ascii="Times New Roman" w:hAnsi="Times New Roman" w:cs="Times New Roman"/>
                <w:sz w:val="24"/>
                <w:szCs w:val="24"/>
              </w:rPr>
            </w:pPr>
          </w:p>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(Solde) : 4 500</w:t>
            </w:r>
          </w:p>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(Appel de marge) : 500</w:t>
            </w:r>
          </w:p>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Solde : 5000 </w:t>
            </w:r>
          </w:p>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Gain : 1000 </w:t>
            </w:r>
          </w:p>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Solde : 6000 </w:t>
            </w:r>
          </w:p>
        </w:tc>
        <w:tc>
          <w:tcPr>
            <w:tcW w:w="5303" w:type="dxa"/>
          </w:tcPr>
          <w:p w:rsidR="00B15731" w:rsidRDefault="00B15731" w:rsidP="0002631E">
            <w:pPr>
              <w:tabs>
                <w:tab w:val="left" w:pos="3120"/>
              </w:tabs>
              <w:jc w:val="both"/>
              <w:rPr>
                <w:rFonts w:ascii="Times New Roman" w:hAnsi="Times New Roman" w:cs="Times New Roman"/>
                <w:sz w:val="24"/>
                <w:szCs w:val="24"/>
              </w:rPr>
            </w:pPr>
          </w:p>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(Perte) : 500</w:t>
            </w:r>
          </w:p>
          <w:p w:rsidR="00B15731" w:rsidRDefault="00B15731" w:rsidP="0002631E">
            <w:pPr>
              <w:tabs>
                <w:tab w:val="left" w:pos="3120"/>
              </w:tabs>
              <w:jc w:val="both"/>
              <w:rPr>
                <w:rFonts w:ascii="Times New Roman" w:hAnsi="Times New Roman" w:cs="Times New Roman"/>
                <w:sz w:val="24"/>
                <w:szCs w:val="24"/>
              </w:rPr>
            </w:pPr>
          </w:p>
          <w:p w:rsidR="00B15731" w:rsidRDefault="00B15731" w:rsidP="0002631E">
            <w:pPr>
              <w:tabs>
                <w:tab w:val="left" w:pos="3120"/>
              </w:tabs>
              <w:jc w:val="both"/>
              <w:rPr>
                <w:rFonts w:ascii="Times New Roman" w:hAnsi="Times New Roman" w:cs="Times New Roman"/>
                <w:sz w:val="24"/>
                <w:szCs w:val="24"/>
              </w:rPr>
            </w:pPr>
          </w:p>
        </w:tc>
      </w:tr>
      <w:tr w:rsidR="00B15731" w:rsidTr="0002631E">
        <w:tc>
          <w:tcPr>
            <w:tcW w:w="5303" w:type="dxa"/>
          </w:tcPr>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Totale : 6000 </w:t>
            </w:r>
          </w:p>
        </w:tc>
        <w:tc>
          <w:tcPr>
            <w:tcW w:w="5303" w:type="dxa"/>
          </w:tcPr>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500 </w:t>
            </w:r>
          </w:p>
        </w:tc>
      </w:tr>
      <w:tr w:rsidR="00B15731" w:rsidTr="0002631E">
        <w:tc>
          <w:tcPr>
            <w:tcW w:w="5303" w:type="dxa"/>
          </w:tcPr>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Solde du compte: 6000 – 500 = </w:t>
            </w:r>
            <w:r w:rsidRPr="00B52A9A">
              <w:rPr>
                <w:rFonts w:ascii="Times New Roman" w:hAnsi="Times New Roman" w:cs="Times New Roman"/>
                <w:b/>
                <w:sz w:val="24"/>
                <w:szCs w:val="24"/>
              </w:rPr>
              <w:t>5 500</w:t>
            </w:r>
            <w:r>
              <w:rPr>
                <w:rFonts w:ascii="Times New Roman" w:hAnsi="Times New Roman" w:cs="Times New Roman"/>
                <w:sz w:val="24"/>
                <w:szCs w:val="24"/>
              </w:rPr>
              <w:t xml:space="preserve">  </w:t>
            </w:r>
            <w:r w:rsidRPr="00434BAB">
              <w:rPr>
                <w:rFonts w:ascii="Times New Roman" w:hAnsi="Times New Roman" w:cs="Times New Roman"/>
                <w:sz w:val="24"/>
                <w:szCs w:val="24"/>
              </w:rPr>
              <w:t>€</w:t>
            </w:r>
          </w:p>
        </w:tc>
        <w:tc>
          <w:tcPr>
            <w:tcW w:w="5303" w:type="dxa"/>
          </w:tcPr>
          <w:p w:rsidR="00B15731" w:rsidRDefault="00B15731" w:rsidP="0002631E">
            <w:pPr>
              <w:tabs>
                <w:tab w:val="left" w:pos="3120"/>
              </w:tabs>
              <w:jc w:val="both"/>
              <w:rPr>
                <w:rFonts w:ascii="Times New Roman" w:hAnsi="Times New Roman" w:cs="Times New Roman"/>
                <w:sz w:val="24"/>
                <w:szCs w:val="24"/>
              </w:rPr>
            </w:pPr>
          </w:p>
        </w:tc>
      </w:tr>
      <w:tr w:rsidR="00B15731" w:rsidTr="0002631E">
        <w:tc>
          <w:tcPr>
            <w:tcW w:w="10606" w:type="dxa"/>
            <w:gridSpan w:val="2"/>
          </w:tcPr>
          <w:p w:rsidR="00B15731" w:rsidRDefault="00B15731" w:rsidP="0002631E">
            <w:pPr>
              <w:tabs>
                <w:tab w:val="left" w:pos="3120"/>
              </w:tabs>
              <w:jc w:val="both"/>
              <w:rPr>
                <w:rFonts w:ascii="Times New Roman" w:hAnsi="Times New Roman" w:cs="Times New Roman"/>
                <w:sz w:val="24"/>
                <w:szCs w:val="24"/>
              </w:rPr>
            </w:pPr>
            <w:r>
              <w:rPr>
                <w:rFonts w:ascii="Times New Roman" w:hAnsi="Times New Roman" w:cs="Times New Roman"/>
                <w:sz w:val="24"/>
                <w:szCs w:val="24"/>
              </w:rPr>
              <w:t xml:space="preserve">L’investisseur a réalisé un gain de 500 </w:t>
            </w:r>
            <w:r w:rsidRPr="00434BAB">
              <w:rPr>
                <w:rFonts w:ascii="Times New Roman" w:hAnsi="Times New Roman" w:cs="Times New Roman"/>
                <w:sz w:val="24"/>
                <w:szCs w:val="24"/>
              </w:rPr>
              <w:t>€</w:t>
            </w:r>
            <w:r>
              <w:rPr>
                <w:rFonts w:ascii="Times New Roman" w:hAnsi="Times New Roman" w:cs="Times New Roman"/>
                <w:sz w:val="24"/>
                <w:szCs w:val="24"/>
              </w:rPr>
              <w:t xml:space="preserve">  (</w:t>
            </w:r>
            <w:r w:rsidRPr="00B52A9A">
              <w:rPr>
                <w:rFonts w:ascii="Times New Roman" w:hAnsi="Times New Roman" w:cs="Times New Roman"/>
                <w:b/>
                <w:sz w:val="24"/>
                <w:szCs w:val="24"/>
              </w:rPr>
              <w:t xml:space="preserve">5 500 </w:t>
            </w:r>
            <w:r w:rsidRPr="00434BAB">
              <w:rPr>
                <w:rFonts w:ascii="Times New Roman" w:hAnsi="Times New Roman" w:cs="Times New Roman"/>
                <w:sz w:val="24"/>
                <w:szCs w:val="24"/>
              </w:rPr>
              <w:t>€</w:t>
            </w:r>
            <w:r>
              <w:rPr>
                <w:rFonts w:ascii="Times New Roman" w:hAnsi="Times New Roman" w:cs="Times New Roman"/>
                <w:sz w:val="24"/>
                <w:szCs w:val="24"/>
              </w:rPr>
              <w:t xml:space="preserve"> – </w:t>
            </w:r>
            <w:r w:rsidRPr="00B52A9A">
              <w:rPr>
                <w:rFonts w:ascii="Times New Roman" w:hAnsi="Times New Roman" w:cs="Times New Roman"/>
                <w:b/>
                <w:sz w:val="24"/>
                <w:szCs w:val="24"/>
              </w:rPr>
              <w:t>5000 €)</w:t>
            </w:r>
            <w:r>
              <w:rPr>
                <w:rFonts w:ascii="Times New Roman" w:hAnsi="Times New Roman" w:cs="Times New Roman"/>
                <w:sz w:val="24"/>
                <w:szCs w:val="24"/>
              </w:rPr>
              <w:t xml:space="preserve"> durant les trois jours de cotation</w:t>
            </w:r>
          </w:p>
        </w:tc>
      </w:tr>
    </w:tbl>
    <w:p w:rsidR="00B15731" w:rsidRPr="00FB0A5B" w:rsidRDefault="00B15731" w:rsidP="00B15731">
      <w:pPr>
        <w:tabs>
          <w:tab w:val="left" w:pos="3120"/>
        </w:tabs>
        <w:jc w:val="both"/>
        <w:rPr>
          <w:rFonts w:ascii="Times New Roman" w:hAnsi="Times New Roman" w:cs="Times New Roman"/>
          <w:sz w:val="24"/>
          <w:szCs w:val="24"/>
        </w:rPr>
      </w:pPr>
      <w:r w:rsidRPr="00FB0A5B">
        <w:rPr>
          <w:rFonts w:ascii="Times New Roman" w:hAnsi="Times New Roman" w:cs="Times New Roman"/>
          <w:sz w:val="24"/>
          <w:szCs w:val="24"/>
        </w:rPr>
        <w:t xml:space="preserve">  </w:t>
      </w:r>
    </w:p>
    <w:p w:rsidR="00B15731" w:rsidRDefault="00B15731" w:rsidP="00B15731">
      <w:pPr>
        <w:rPr>
          <w:rFonts w:ascii="Times New Roman" w:hAnsi="Times New Roman" w:cs="Times New Roman"/>
          <w:b/>
          <w:sz w:val="28"/>
          <w:szCs w:val="28"/>
        </w:rPr>
      </w:pPr>
      <w:r>
        <w:rPr>
          <w:rFonts w:ascii="Times New Roman" w:hAnsi="Times New Roman" w:cs="Times New Roman"/>
          <w:b/>
          <w:sz w:val="28"/>
          <w:szCs w:val="28"/>
        </w:rPr>
        <w:t xml:space="preserve">Section 02 : </w:t>
      </w:r>
      <w:r w:rsidRPr="00783034">
        <w:rPr>
          <w:rFonts w:ascii="Times New Roman" w:hAnsi="Times New Roman" w:cs="Times New Roman"/>
          <w:b/>
          <w:sz w:val="28"/>
          <w:szCs w:val="28"/>
        </w:rPr>
        <w:t xml:space="preserve">Opération de couverture </w:t>
      </w:r>
      <w:r>
        <w:rPr>
          <w:rFonts w:ascii="Times New Roman" w:hAnsi="Times New Roman" w:cs="Times New Roman"/>
          <w:b/>
          <w:sz w:val="28"/>
          <w:szCs w:val="28"/>
        </w:rPr>
        <w:t xml:space="preserve">du risque </w:t>
      </w:r>
      <w:r w:rsidRPr="00783034">
        <w:rPr>
          <w:rFonts w:ascii="Times New Roman" w:hAnsi="Times New Roman" w:cs="Times New Roman"/>
          <w:b/>
          <w:sz w:val="28"/>
          <w:szCs w:val="28"/>
        </w:rPr>
        <w:t>d’un exploitant agricole</w:t>
      </w:r>
    </w:p>
    <w:p w:rsidR="00B15731" w:rsidRDefault="00B15731" w:rsidP="00B15731">
      <w:pPr>
        <w:jc w:val="both"/>
        <w:rPr>
          <w:rFonts w:ascii="Times New Roman" w:hAnsi="Times New Roman" w:cs="Times New Roman"/>
          <w:sz w:val="24"/>
          <w:szCs w:val="24"/>
        </w:rPr>
      </w:pPr>
      <w:r>
        <w:rPr>
          <w:rFonts w:ascii="Times New Roman" w:hAnsi="Times New Roman" w:cs="Times New Roman"/>
          <w:sz w:val="24"/>
          <w:szCs w:val="24"/>
        </w:rPr>
        <w:t xml:space="preserve">            </w:t>
      </w:r>
      <w:r w:rsidRPr="001D2B58">
        <w:rPr>
          <w:rFonts w:ascii="Times New Roman" w:hAnsi="Times New Roman" w:cs="Times New Roman"/>
          <w:sz w:val="24"/>
          <w:szCs w:val="24"/>
        </w:rPr>
        <w:t>Pour comprendre la procédure de couverture d’un agriculteur d’un risque de volatilité des prix à</w:t>
      </w:r>
      <w:r>
        <w:rPr>
          <w:rFonts w:ascii="Times New Roman" w:hAnsi="Times New Roman" w:cs="Times New Roman"/>
          <w:sz w:val="24"/>
          <w:szCs w:val="24"/>
        </w:rPr>
        <w:t xml:space="preserve"> </w:t>
      </w:r>
      <w:r w:rsidRPr="001D2B58">
        <w:rPr>
          <w:rFonts w:ascii="Times New Roman" w:hAnsi="Times New Roman" w:cs="Times New Roman"/>
          <w:sz w:val="24"/>
          <w:szCs w:val="24"/>
        </w:rPr>
        <w:t xml:space="preserve">terme, il faut d’abord se référer à l’évolution des cours à terme par rapport au cours au comptant qui sont séparés par une base. </w:t>
      </w:r>
    </w:p>
    <w:p w:rsidR="00B15731" w:rsidRPr="001D2B58" w:rsidRDefault="00B15731" w:rsidP="00B15731">
      <w:pPr>
        <w:jc w:val="both"/>
        <w:rPr>
          <w:rFonts w:ascii="Times New Roman" w:hAnsi="Times New Roman" w:cs="Times New Roman"/>
          <w:sz w:val="24"/>
          <w:szCs w:val="24"/>
        </w:rPr>
      </w:pPr>
    </w:p>
    <w:p w:rsidR="00B15731" w:rsidRPr="00B52A9A" w:rsidRDefault="00B15731" w:rsidP="00B15731">
      <w:pPr>
        <w:jc w:val="both"/>
        <w:rPr>
          <w:rFonts w:ascii="Times New Roman" w:hAnsi="Times New Roman" w:cs="Times New Roman"/>
          <w:b/>
          <w:sz w:val="28"/>
          <w:szCs w:val="28"/>
        </w:rPr>
      </w:pPr>
      <w:r>
        <w:rPr>
          <w:rFonts w:ascii="Times New Roman" w:hAnsi="Times New Roman" w:cs="Times New Roman"/>
          <w:b/>
          <w:sz w:val="28"/>
          <w:szCs w:val="28"/>
        </w:rPr>
        <w:lastRenderedPageBreak/>
        <w:t>2-1-</w:t>
      </w:r>
      <w:r w:rsidRPr="00B52A9A">
        <w:rPr>
          <w:rFonts w:ascii="Times New Roman" w:hAnsi="Times New Roman" w:cs="Times New Roman"/>
          <w:b/>
          <w:sz w:val="28"/>
          <w:szCs w:val="28"/>
        </w:rPr>
        <w:t xml:space="preserve">Le principe de la base </w:t>
      </w:r>
    </w:p>
    <w:p w:rsidR="00B15731" w:rsidRPr="00D64A4C" w:rsidRDefault="00B15731" w:rsidP="00B15731">
      <w:pPr>
        <w:jc w:val="both"/>
        <w:rPr>
          <w:rFonts w:ascii="Times New Roman" w:hAnsi="Times New Roman" w:cs="Times New Roman"/>
          <w:sz w:val="24"/>
          <w:szCs w:val="24"/>
        </w:rPr>
      </w:pPr>
      <w:r w:rsidRPr="002553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4A4C">
        <w:rPr>
          <w:rFonts w:ascii="Times New Roman" w:hAnsi="Times New Roman" w:cs="Times New Roman"/>
          <w:sz w:val="24"/>
          <w:szCs w:val="24"/>
        </w:rPr>
        <w:t xml:space="preserve">Le comportement des opérateurs (position longue ou courte) prend généralement en compte l’évolution du cours au comptant et celle du cours à terme. </w:t>
      </w:r>
    </w:p>
    <w:p w:rsidR="00B15731" w:rsidRPr="00D64A4C" w:rsidRDefault="00B15731" w:rsidP="00B15731">
      <w:pPr>
        <w:jc w:val="both"/>
        <w:rPr>
          <w:rFonts w:ascii="Times New Roman" w:hAnsi="Times New Roman" w:cs="Times New Roman"/>
          <w:sz w:val="24"/>
          <w:szCs w:val="24"/>
        </w:rPr>
      </w:pPr>
      <w:r w:rsidRPr="00D64A4C">
        <w:rPr>
          <w:rFonts w:ascii="Times New Roman" w:hAnsi="Times New Roman" w:cs="Times New Roman"/>
          <w:sz w:val="24"/>
          <w:szCs w:val="24"/>
        </w:rPr>
        <w:t xml:space="preserve">         Bien qu’ils n’évoluent pas exactement de la même façon, ces deux cours ont tendance à bouger de concert. Le cours à terme dépend en effet étroitement du cours au comptant, puisqu’un contrat à terme peut toujours faire l’objet d’une livraison à l’échéance. </w:t>
      </w:r>
    </w:p>
    <w:p w:rsidR="00B15731" w:rsidRPr="00D64A4C" w:rsidRDefault="00B15731" w:rsidP="00B15731">
      <w:pPr>
        <w:jc w:val="both"/>
        <w:rPr>
          <w:rFonts w:ascii="Times New Roman" w:hAnsi="Times New Roman" w:cs="Times New Roman"/>
          <w:bCs/>
          <w:sz w:val="24"/>
          <w:szCs w:val="24"/>
        </w:rPr>
      </w:pPr>
      <w:r w:rsidRPr="00D64A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4A4C">
        <w:rPr>
          <w:rFonts w:ascii="Times New Roman" w:hAnsi="Times New Roman" w:cs="Times New Roman"/>
          <w:sz w:val="24"/>
          <w:szCs w:val="24"/>
        </w:rPr>
        <w:t xml:space="preserve">Le cours à terme théorique équivaut au cours au comptant augmenté ou diminué du prix du temps, appelé </w:t>
      </w:r>
      <w:r w:rsidRPr="00D64A4C">
        <w:rPr>
          <w:rFonts w:ascii="Times New Roman" w:hAnsi="Times New Roman" w:cs="Times New Roman"/>
          <w:bCs/>
          <w:sz w:val="24"/>
          <w:szCs w:val="24"/>
        </w:rPr>
        <w:t>coût de portage (coûts de transport plus les coûts de stockage).</w:t>
      </w:r>
    </w:p>
    <w:p w:rsidR="00B15731" w:rsidRDefault="00B15731" w:rsidP="00B15731">
      <w:pPr>
        <w:jc w:val="both"/>
        <w:rPr>
          <w:rFonts w:ascii="Times New Roman" w:hAnsi="Times New Roman" w:cs="Times New Roman"/>
          <w:sz w:val="24"/>
          <w:szCs w:val="24"/>
        </w:rPr>
      </w:pPr>
      <w:r w:rsidRPr="002553BB">
        <w:rPr>
          <w:rFonts w:ascii="Times New Roman" w:hAnsi="Times New Roman" w:cs="Times New Roman"/>
          <w:noProof/>
          <w:sz w:val="24"/>
          <w:szCs w:val="24"/>
          <w:lang w:eastAsia="fr-FR"/>
        </w:rPr>
        <w:drawing>
          <wp:inline distT="0" distB="0" distL="0" distR="0">
            <wp:extent cx="5762625" cy="2876550"/>
            <wp:effectExtent l="19050" t="0" r="0" b="0"/>
            <wp:docPr id="5"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48712" cy="4708525"/>
                      <a:chOff x="395288" y="620713"/>
                      <a:chExt cx="8748712" cy="4708525"/>
                    </a:xfrm>
                  </a:grpSpPr>
                  <a:grpSp>
                    <a:nvGrpSpPr>
                      <a:cNvPr id="12" name="Groupe 11"/>
                      <a:cNvGrpSpPr/>
                    </a:nvGrpSpPr>
                    <a:grpSpPr>
                      <a:xfrm>
                        <a:off x="395288" y="620713"/>
                        <a:ext cx="8748712" cy="4708525"/>
                        <a:chOff x="395288" y="620713"/>
                        <a:chExt cx="8748712" cy="4708525"/>
                      </a:xfrm>
                    </a:grpSpPr>
                    <a:sp>
                      <a:nvSpPr>
                        <a:cNvPr id="30722" name="Line 4"/>
                        <a:cNvSpPr>
                          <a:spLocks noChangeShapeType="1"/>
                        </a:cNvSpPr>
                      </a:nvSpPr>
                      <a:spPr bwMode="auto">
                        <a:xfrm flipV="1">
                          <a:off x="952500" y="1149350"/>
                          <a:ext cx="1588" cy="4059238"/>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endParaRPr lang="fr-FR"/>
                          </a:p>
                        </a:txBody>
                        <a:useSpRect/>
                      </a:txSp>
                    </a:sp>
                    <a:sp>
                      <a:nvSpPr>
                        <a:cNvPr id="30723" name="Line 5"/>
                        <a:cNvSpPr>
                          <a:spLocks noChangeShapeType="1"/>
                        </a:cNvSpPr>
                      </a:nvSpPr>
                      <a:spPr bwMode="auto">
                        <a:xfrm>
                          <a:off x="952500" y="5208588"/>
                          <a:ext cx="6775450" cy="1587"/>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endParaRPr lang="fr-FR"/>
                          </a:p>
                        </a:txBody>
                        <a:useSpRect/>
                      </a:txSp>
                    </a:sp>
                    <a:sp>
                      <a:nvSpPr>
                        <a:cNvPr id="30724" name="Text Box 6"/>
                        <a:cNvSpPr txBox="1">
                          <a:spLocks noChangeArrowheads="1"/>
                        </a:cNvSpPr>
                      </a:nvSpPr>
                      <a:spPr bwMode="auto">
                        <a:xfrm>
                          <a:off x="7812088" y="4941888"/>
                          <a:ext cx="1331912" cy="387350"/>
                        </a:xfrm>
                        <a:prstGeom prst="rect">
                          <a:avLst/>
                        </a:prstGeom>
                        <a:solidFill>
                          <a:srgbClr val="FFFFFF"/>
                        </a:solid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r>
                              <a:rPr lang="fr-FR" altLang="zh-CN">
                                <a:ea typeface="SimSun" pitchFamily="2" charset="-122"/>
                                <a:cs typeface="Arial" charset="0"/>
                              </a:rPr>
                              <a:t>Echéance</a:t>
                            </a:r>
                            <a:endParaRPr lang="fr-FR">
                              <a:ea typeface="SimSun" pitchFamily="2" charset="-122"/>
                              <a:cs typeface="Arial" charset="0"/>
                            </a:endParaRPr>
                          </a:p>
                        </a:txBody>
                        <a:useSpRect/>
                      </a:txSp>
                    </a:sp>
                    <a:sp>
                      <a:nvSpPr>
                        <a:cNvPr id="30725" name="Text Box 7"/>
                        <a:cNvSpPr txBox="1">
                          <a:spLocks noChangeArrowheads="1"/>
                        </a:cNvSpPr>
                      </a:nvSpPr>
                      <a:spPr bwMode="auto">
                        <a:xfrm>
                          <a:off x="395288" y="620713"/>
                          <a:ext cx="1419225" cy="387350"/>
                        </a:xfrm>
                        <a:prstGeom prst="rect">
                          <a:avLst/>
                        </a:prstGeom>
                        <a:solidFill>
                          <a:srgbClr val="FFFFFF"/>
                        </a:solid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r>
                              <a:rPr lang="fr-FR" altLang="zh-CN" dirty="0">
                                <a:ea typeface="SimSun" pitchFamily="2" charset="-122"/>
                                <a:cs typeface="Arial" charset="0"/>
                              </a:rPr>
                              <a:t>Cours</a:t>
                            </a:r>
                            <a:endParaRPr lang="fr-FR" dirty="0">
                              <a:ea typeface="SimSun" pitchFamily="2" charset="-122"/>
                              <a:cs typeface="Arial" charset="0"/>
                            </a:endParaRPr>
                          </a:p>
                        </a:txBody>
                        <a:useSpRect/>
                      </a:txSp>
                    </a:sp>
                    <a:sp>
                      <a:nvSpPr>
                        <a:cNvPr id="30726" name="Freeform 8"/>
                        <a:cNvSpPr>
                          <a:spLocks/>
                        </a:cNvSpPr>
                      </a:nvSpPr>
                      <a:spPr bwMode="auto">
                        <a:xfrm>
                          <a:off x="1066800" y="2003425"/>
                          <a:ext cx="6278563" cy="2586038"/>
                        </a:xfrm>
                        <a:custGeom>
                          <a:avLst/>
                          <a:gdLst>
                            <a:gd name="T0" fmla="*/ 525183 w 7173"/>
                            <a:gd name="T1" fmla="*/ 203058 h 2407"/>
                            <a:gd name="T2" fmla="*/ 647726 w 7173"/>
                            <a:gd name="T3" fmla="*/ 353472 h 2407"/>
                            <a:gd name="T4" fmla="*/ 787775 w 7173"/>
                            <a:gd name="T5" fmla="*/ 439422 h 2407"/>
                            <a:gd name="T6" fmla="*/ 962836 w 7173"/>
                            <a:gd name="T7" fmla="*/ 374959 h 2407"/>
                            <a:gd name="T8" fmla="*/ 1190415 w 7173"/>
                            <a:gd name="T9" fmla="*/ 589836 h 2407"/>
                            <a:gd name="T10" fmla="*/ 1277945 w 7173"/>
                            <a:gd name="T11" fmla="*/ 783225 h 2407"/>
                            <a:gd name="T12" fmla="*/ 1435500 w 7173"/>
                            <a:gd name="T13" fmla="*/ 675786 h 2407"/>
                            <a:gd name="T14" fmla="*/ 1558043 w 7173"/>
                            <a:gd name="T15" fmla="*/ 632811 h 2407"/>
                            <a:gd name="T16" fmla="*/ 1768116 w 7173"/>
                            <a:gd name="T17" fmla="*/ 912151 h 2407"/>
                            <a:gd name="T18" fmla="*/ 2678433 w 7173"/>
                            <a:gd name="T19" fmla="*/ 804712 h 2407"/>
                            <a:gd name="T20" fmla="*/ 2906013 w 7173"/>
                            <a:gd name="T21" fmla="*/ 1127027 h 2407"/>
                            <a:gd name="T22" fmla="*/ 3221123 w 7173"/>
                            <a:gd name="T23" fmla="*/ 1384879 h 2407"/>
                            <a:gd name="T24" fmla="*/ 3413690 w 7173"/>
                            <a:gd name="T25" fmla="*/ 1384879 h 2407"/>
                            <a:gd name="T26" fmla="*/ 3606257 w 7173"/>
                            <a:gd name="T27" fmla="*/ 1062564 h 2407"/>
                            <a:gd name="T28" fmla="*/ 3711293 w 7173"/>
                            <a:gd name="T29" fmla="*/ 1406366 h 2407"/>
                            <a:gd name="T30" fmla="*/ 4131440 w 7173"/>
                            <a:gd name="T31" fmla="*/ 1556780 h 2407"/>
                            <a:gd name="T32" fmla="*/ 4341513 w 7173"/>
                            <a:gd name="T33" fmla="*/ 1642730 h 2407"/>
                            <a:gd name="T34" fmla="*/ 4726647 w 7173"/>
                            <a:gd name="T35" fmla="*/ 1685706 h 2407"/>
                            <a:gd name="T36" fmla="*/ 4849190 w 7173"/>
                            <a:gd name="T37" fmla="*/ 1814632 h 2407"/>
                            <a:gd name="T38" fmla="*/ 5111781 w 7173"/>
                            <a:gd name="T39" fmla="*/ 1771656 h 2407"/>
                            <a:gd name="T40" fmla="*/ 5339361 w 7173"/>
                            <a:gd name="T41" fmla="*/ 1793144 h 2407"/>
                            <a:gd name="T42" fmla="*/ 5549434 w 7173"/>
                            <a:gd name="T43" fmla="*/ 1513805 h 2407"/>
                            <a:gd name="T44" fmla="*/ 5636964 w 7173"/>
                            <a:gd name="T45" fmla="*/ 1642730 h 2407"/>
                            <a:gd name="T46" fmla="*/ 5742001 w 7173"/>
                            <a:gd name="T47" fmla="*/ 1922070 h 2407"/>
                            <a:gd name="T48" fmla="*/ 5882050 w 7173"/>
                            <a:gd name="T49" fmla="*/ 2158434 h 2407"/>
                            <a:gd name="T50" fmla="*/ 6214666 w 7173"/>
                            <a:gd name="T51" fmla="*/ 2394798 h 2407"/>
                            <a:gd name="T52" fmla="*/ 6144641 w 7173"/>
                            <a:gd name="T53" fmla="*/ 2523724 h 2407"/>
                            <a:gd name="T54" fmla="*/ 5864544 w 7173"/>
                            <a:gd name="T55" fmla="*/ 2416286 h 2407"/>
                            <a:gd name="T56" fmla="*/ 5566940 w 7173"/>
                            <a:gd name="T57" fmla="*/ 2072483 h 2407"/>
                            <a:gd name="T58" fmla="*/ 5356867 w 7173"/>
                            <a:gd name="T59" fmla="*/ 2136946 h 2407"/>
                            <a:gd name="T60" fmla="*/ 5094275 w 7173"/>
                            <a:gd name="T61" fmla="*/ 2222897 h 2407"/>
                            <a:gd name="T62" fmla="*/ 4866696 w 7173"/>
                            <a:gd name="T63" fmla="*/ 2179922 h 2407"/>
                            <a:gd name="T64" fmla="*/ 4744153 w 7173"/>
                            <a:gd name="T65" fmla="*/ 2308847 h 2407"/>
                            <a:gd name="T66" fmla="*/ 4394031 w 7173"/>
                            <a:gd name="T67" fmla="*/ 2287360 h 2407"/>
                            <a:gd name="T68" fmla="*/ 4131440 w 7173"/>
                            <a:gd name="T69" fmla="*/ 2287360 h 2407"/>
                            <a:gd name="T70" fmla="*/ 3921367 w 7173"/>
                            <a:gd name="T71" fmla="*/ 2523724 h 2407"/>
                            <a:gd name="T72" fmla="*/ 3781318 w 7173"/>
                            <a:gd name="T73" fmla="*/ 2287360 h 2407"/>
                            <a:gd name="T74" fmla="*/ 3588751 w 7173"/>
                            <a:gd name="T75" fmla="*/ 2050996 h 2407"/>
                            <a:gd name="T76" fmla="*/ 3413690 w 7173"/>
                            <a:gd name="T77" fmla="*/ 2136946 h 2407"/>
                            <a:gd name="T78" fmla="*/ 3063568 w 7173"/>
                            <a:gd name="T79" fmla="*/ 2394798 h 2407"/>
                            <a:gd name="T80" fmla="*/ 2923519 w 7173"/>
                            <a:gd name="T81" fmla="*/ 2201409 h 2407"/>
                            <a:gd name="T82" fmla="*/ 2608409 w 7173"/>
                            <a:gd name="T83" fmla="*/ 2072483 h 2407"/>
                            <a:gd name="T84" fmla="*/ 2345817 w 7173"/>
                            <a:gd name="T85" fmla="*/ 2158434 h 2407"/>
                            <a:gd name="T86" fmla="*/ 1873153 w 7173"/>
                            <a:gd name="T87" fmla="*/ 2287360 h 2407"/>
                            <a:gd name="T88" fmla="*/ 1715598 w 7173"/>
                            <a:gd name="T89" fmla="*/ 2265872 h 2407"/>
                            <a:gd name="T90" fmla="*/ 1505525 w 7173"/>
                            <a:gd name="T91" fmla="*/ 1965045 h 2407"/>
                            <a:gd name="T92" fmla="*/ 1312958 w 7173"/>
                            <a:gd name="T93" fmla="*/ 1965045 h 2407"/>
                            <a:gd name="T94" fmla="*/ 1155403 w 7173"/>
                            <a:gd name="T95" fmla="*/ 2115459 h 2407"/>
                            <a:gd name="T96" fmla="*/ 910317 w 7173"/>
                            <a:gd name="T97" fmla="*/ 1879095 h 2407"/>
                            <a:gd name="T98" fmla="*/ 682738 w 7173"/>
                            <a:gd name="T99" fmla="*/ 1642730 h 2407"/>
                            <a:gd name="T100" fmla="*/ 490171 w 7173"/>
                            <a:gd name="T101" fmla="*/ 1857607 h 2407"/>
                            <a:gd name="T102" fmla="*/ 315110 w 7173"/>
                            <a:gd name="T103" fmla="*/ 1642730 h 2407"/>
                            <a:gd name="T104" fmla="*/ 87531 w 7173"/>
                            <a:gd name="T105" fmla="*/ 1599755 h 240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173" h="2407">
                              <a:moveTo>
                                <a:pt x="360" y="49"/>
                              </a:moveTo>
                              <a:cubicBezTo>
                                <a:pt x="443" y="21"/>
                                <a:pt x="474" y="0"/>
                                <a:pt x="560" y="29"/>
                              </a:cubicBezTo>
                              <a:cubicBezTo>
                                <a:pt x="563" y="43"/>
                                <a:pt x="585" y="174"/>
                                <a:pt x="600" y="189"/>
                              </a:cubicBezTo>
                              <a:cubicBezTo>
                                <a:pt x="615" y="204"/>
                                <a:pt x="640" y="202"/>
                                <a:pt x="660" y="209"/>
                              </a:cubicBezTo>
                              <a:cubicBezTo>
                                <a:pt x="680" y="229"/>
                                <a:pt x="704" y="245"/>
                                <a:pt x="720" y="269"/>
                              </a:cubicBezTo>
                              <a:cubicBezTo>
                                <a:pt x="732" y="287"/>
                                <a:pt x="721" y="320"/>
                                <a:pt x="740" y="329"/>
                              </a:cubicBezTo>
                              <a:cubicBezTo>
                                <a:pt x="759" y="338"/>
                                <a:pt x="780" y="316"/>
                                <a:pt x="800" y="309"/>
                              </a:cubicBezTo>
                              <a:cubicBezTo>
                                <a:pt x="827" y="316"/>
                                <a:pt x="861" y="310"/>
                                <a:pt x="880" y="329"/>
                              </a:cubicBezTo>
                              <a:cubicBezTo>
                                <a:pt x="899" y="348"/>
                                <a:pt x="885" y="386"/>
                                <a:pt x="900" y="409"/>
                              </a:cubicBezTo>
                              <a:cubicBezTo>
                                <a:pt x="913" y="429"/>
                                <a:pt x="940" y="436"/>
                                <a:pt x="960" y="449"/>
                              </a:cubicBezTo>
                              <a:cubicBezTo>
                                <a:pt x="967" y="429"/>
                                <a:pt x="963" y="401"/>
                                <a:pt x="980" y="389"/>
                              </a:cubicBezTo>
                              <a:cubicBezTo>
                                <a:pt x="1014" y="364"/>
                                <a:pt x="1100" y="349"/>
                                <a:pt x="1100" y="349"/>
                              </a:cubicBezTo>
                              <a:cubicBezTo>
                                <a:pt x="1113" y="329"/>
                                <a:pt x="1118" y="298"/>
                                <a:pt x="1140" y="289"/>
                              </a:cubicBezTo>
                              <a:cubicBezTo>
                                <a:pt x="1166" y="279"/>
                                <a:pt x="1247" y="341"/>
                                <a:pt x="1260" y="349"/>
                              </a:cubicBezTo>
                              <a:cubicBezTo>
                                <a:pt x="1285" y="423"/>
                                <a:pt x="1329" y="477"/>
                                <a:pt x="1360" y="549"/>
                              </a:cubicBezTo>
                              <a:cubicBezTo>
                                <a:pt x="1368" y="568"/>
                                <a:pt x="1368" y="591"/>
                                <a:pt x="1380" y="609"/>
                              </a:cubicBezTo>
                              <a:cubicBezTo>
                                <a:pt x="1396" y="633"/>
                                <a:pt x="1420" y="649"/>
                                <a:pt x="1440" y="669"/>
                              </a:cubicBezTo>
                              <a:cubicBezTo>
                                <a:pt x="1447" y="689"/>
                                <a:pt x="1439" y="729"/>
                                <a:pt x="1460" y="729"/>
                              </a:cubicBezTo>
                              <a:cubicBezTo>
                                <a:pt x="1533" y="729"/>
                                <a:pt x="1520" y="619"/>
                                <a:pt x="1540" y="589"/>
                              </a:cubicBezTo>
                              <a:cubicBezTo>
                                <a:pt x="1553" y="569"/>
                                <a:pt x="1580" y="562"/>
                                <a:pt x="1600" y="549"/>
                              </a:cubicBezTo>
                              <a:cubicBezTo>
                                <a:pt x="1613" y="576"/>
                                <a:pt x="1630" y="601"/>
                                <a:pt x="1640" y="629"/>
                              </a:cubicBezTo>
                              <a:cubicBezTo>
                                <a:pt x="1650" y="655"/>
                                <a:pt x="1633" y="709"/>
                                <a:pt x="1660" y="709"/>
                              </a:cubicBezTo>
                              <a:cubicBezTo>
                                <a:pt x="1693" y="709"/>
                                <a:pt x="1696" y="653"/>
                                <a:pt x="1720" y="629"/>
                              </a:cubicBezTo>
                              <a:cubicBezTo>
                                <a:pt x="1737" y="612"/>
                                <a:pt x="1760" y="602"/>
                                <a:pt x="1780" y="589"/>
                              </a:cubicBezTo>
                              <a:cubicBezTo>
                                <a:pt x="1787" y="616"/>
                                <a:pt x="1792" y="643"/>
                                <a:pt x="1800" y="669"/>
                              </a:cubicBezTo>
                              <a:cubicBezTo>
                                <a:pt x="1835" y="785"/>
                                <a:pt x="1813" y="793"/>
                                <a:pt x="1920" y="829"/>
                              </a:cubicBezTo>
                              <a:cubicBezTo>
                                <a:pt x="1952" y="840"/>
                                <a:pt x="1987" y="842"/>
                                <a:pt x="2020" y="849"/>
                              </a:cubicBezTo>
                              <a:cubicBezTo>
                                <a:pt x="2173" y="1002"/>
                                <a:pt x="2425" y="965"/>
                                <a:pt x="2600" y="849"/>
                              </a:cubicBezTo>
                              <a:cubicBezTo>
                                <a:pt x="2663" y="755"/>
                                <a:pt x="2735" y="715"/>
                                <a:pt x="2840" y="689"/>
                              </a:cubicBezTo>
                              <a:cubicBezTo>
                                <a:pt x="2992" y="740"/>
                                <a:pt x="2919" y="721"/>
                                <a:pt x="3060" y="749"/>
                              </a:cubicBezTo>
                              <a:cubicBezTo>
                                <a:pt x="3119" y="808"/>
                                <a:pt x="3161" y="843"/>
                                <a:pt x="3240" y="869"/>
                              </a:cubicBezTo>
                              <a:cubicBezTo>
                                <a:pt x="3260" y="889"/>
                                <a:pt x="3289" y="903"/>
                                <a:pt x="3300" y="929"/>
                              </a:cubicBezTo>
                              <a:cubicBezTo>
                                <a:pt x="3316" y="966"/>
                                <a:pt x="3310" y="1010"/>
                                <a:pt x="3320" y="1049"/>
                              </a:cubicBezTo>
                              <a:cubicBezTo>
                                <a:pt x="3330" y="1090"/>
                                <a:pt x="3350" y="1128"/>
                                <a:pt x="3360" y="1169"/>
                              </a:cubicBezTo>
                              <a:cubicBezTo>
                                <a:pt x="3410" y="1368"/>
                                <a:pt x="3344" y="1216"/>
                                <a:pt x="3420" y="1369"/>
                              </a:cubicBezTo>
                              <a:cubicBezTo>
                                <a:pt x="3527" y="1351"/>
                                <a:pt x="3585" y="1336"/>
                                <a:pt x="3680" y="1289"/>
                              </a:cubicBezTo>
                              <a:cubicBezTo>
                                <a:pt x="3707" y="1296"/>
                                <a:pt x="3737" y="1294"/>
                                <a:pt x="3760" y="1309"/>
                              </a:cubicBezTo>
                              <a:cubicBezTo>
                                <a:pt x="3855" y="1372"/>
                                <a:pt x="3739" y="1389"/>
                                <a:pt x="3860" y="1349"/>
                              </a:cubicBezTo>
                              <a:cubicBezTo>
                                <a:pt x="3873" y="1329"/>
                                <a:pt x="3884" y="1307"/>
                                <a:pt x="3900" y="1289"/>
                              </a:cubicBezTo>
                              <a:cubicBezTo>
                                <a:pt x="3938" y="1247"/>
                                <a:pt x="4020" y="1169"/>
                                <a:pt x="4020" y="1169"/>
                              </a:cubicBezTo>
                              <a:cubicBezTo>
                                <a:pt x="4033" y="1129"/>
                                <a:pt x="4040" y="1086"/>
                                <a:pt x="4060" y="1049"/>
                              </a:cubicBezTo>
                              <a:cubicBezTo>
                                <a:pt x="4074" y="1024"/>
                                <a:pt x="4102" y="1011"/>
                                <a:pt x="4120" y="989"/>
                              </a:cubicBezTo>
                              <a:cubicBezTo>
                                <a:pt x="4135" y="971"/>
                                <a:pt x="4147" y="949"/>
                                <a:pt x="4160" y="929"/>
                              </a:cubicBezTo>
                              <a:cubicBezTo>
                                <a:pt x="4153" y="1022"/>
                                <a:pt x="4135" y="1116"/>
                                <a:pt x="4140" y="1209"/>
                              </a:cubicBezTo>
                              <a:cubicBezTo>
                                <a:pt x="4142" y="1250"/>
                                <a:pt x="4211" y="1294"/>
                                <a:pt x="4240" y="1309"/>
                              </a:cubicBezTo>
                              <a:cubicBezTo>
                                <a:pt x="4377" y="1377"/>
                                <a:pt x="4490" y="1419"/>
                                <a:pt x="4600" y="1529"/>
                              </a:cubicBezTo>
                              <a:cubicBezTo>
                                <a:pt x="4633" y="1522"/>
                                <a:pt x="4672" y="1528"/>
                                <a:pt x="4700" y="1509"/>
                              </a:cubicBezTo>
                              <a:cubicBezTo>
                                <a:pt x="4718" y="1497"/>
                                <a:pt x="4705" y="1464"/>
                                <a:pt x="4720" y="1449"/>
                              </a:cubicBezTo>
                              <a:cubicBezTo>
                                <a:pt x="4754" y="1415"/>
                                <a:pt x="4840" y="1369"/>
                                <a:pt x="4840" y="1369"/>
                              </a:cubicBezTo>
                              <a:cubicBezTo>
                                <a:pt x="4867" y="1376"/>
                                <a:pt x="4899" y="1372"/>
                                <a:pt x="4920" y="1389"/>
                              </a:cubicBezTo>
                              <a:cubicBezTo>
                                <a:pt x="4929" y="1396"/>
                                <a:pt x="4956" y="1513"/>
                                <a:pt x="4960" y="1529"/>
                              </a:cubicBezTo>
                              <a:cubicBezTo>
                                <a:pt x="5069" y="1493"/>
                                <a:pt x="4984" y="1499"/>
                                <a:pt x="5040" y="1569"/>
                              </a:cubicBezTo>
                              <a:cubicBezTo>
                                <a:pt x="5055" y="1588"/>
                                <a:pt x="5080" y="1596"/>
                                <a:pt x="5100" y="1609"/>
                              </a:cubicBezTo>
                              <a:cubicBezTo>
                                <a:pt x="5126" y="1605"/>
                                <a:pt x="5384" y="1568"/>
                                <a:pt x="5400" y="1569"/>
                              </a:cubicBezTo>
                              <a:cubicBezTo>
                                <a:pt x="5424" y="1571"/>
                                <a:pt x="5440" y="1596"/>
                                <a:pt x="5460" y="1609"/>
                              </a:cubicBezTo>
                              <a:cubicBezTo>
                                <a:pt x="5467" y="1662"/>
                                <a:pt x="5442" y="1731"/>
                                <a:pt x="5480" y="1769"/>
                              </a:cubicBezTo>
                              <a:cubicBezTo>
                                <a:pt x="5504" y="1793"/>
                                <a:pt x="5523" y="1718"/>
                                <a:pt x="5540" y="1689"/>
                              </a:cubicBezTo>
                              <a:cubicBezTo>
                                <a:pt x="5570" y="1637"/>
                                <a:pt x="5620" y="1529"/>
                                <a:pt x="5620" y="1529"/>
                              </a:cubicBezTo>
                              <a:cubicBezTo>
                                <a:pt x="5653" y="1536"/>
                                <a:pt x="5691" y="1531"/>
                                <a:pt x="5720" y="1549"/>
                              </a:cubicBezTo>
                              <a:cubicBezTo>
                                <a:pt x="5969" y="1705"/>
                                <a:pt x="5637" y="1581"/>
                                <a:pt x="5840" y="1649"/>
                              </a:cubicBezTo>
                              <a:cubicBezTo>
                                <a:pt x="5847" y="1676"/>
                                <a:pt x="5836" y="1715"/>
                                <a:pt x="5860" y="1729"/>
                              </a:cubicBezTo>
                              <a:cubicBezTo>
                                <a:pt x="5884" y="1743"/>
                                <a:pt x="5914" y="1717"/>
                                <a:pt x="5940" y="1709"/>
                              </a:cubicBezTo>
                              <a:cubicBezTo>
                                <a:pt x="6083" y="1668"/>
                                <a:pt x="5897" y="1710"/>
                                <a:pt x="6100" y="1669"/>
                              </a:cubicBezTo>
                              <a:cubicBezTo>
                                <a:pt x="6120" y="1649"/>
                                <a:pt x="6144" y="1633"/>
                                <a:pt x="6160" y="1609"/>
                              </a:cubicBezTo>
                              <a:cubicBezTo>
                                <a:pt x="6187" y="1569"/>
                                <a:pt x="6173" y="1509"/>
                                <a:pt x="6200" y="1469"/>
                              </a:cubicBezTo>
                              <a:cubicBezTo>
                                <a:pt x="6229" y="1426"/>
                                <a:pt x="6299" y="1421"/>
                                <a:pt x="6340" y="1409"/>
                              </a:cubicBezTo>
                              <a:cubicBezTo>
                                <a:pt x="6412" y="1388"/>
                                <a:pt x="6394" y="1393"/>
                                <a:pt x="6460" y="1349"/>
                              </a:cubicBezTo>
                              <a:cubicBezTo>
                                <a:pt x="6460" y="1349"/>
                                <a:pt x="6540" y="1189"/>
                                <a:pt x="6540" y="1349"/>
                              </a:cubicBezTo>
                              <a:cubicBezTo>
                                <a:pt x="6540" y="1447"/>
                                <a:pt x="6497" y="1472"/>
                                <a:pt x="6440" y="1529"/>
                              </a:cubicBezTo>
                              <a:cubicBezTo>
                                <a:pt x="6433" y="1576"/>
                                <a:pt x="6410" y="1623"/>
                                <a:pt x="6420" y="1669"/>
                              </a:cubicBezTo>
                              <a:cubicBezTo>
                                <a:pt x="6425" y="1692"/>
                                <a:pt x="6462" y="1693"/>
                                <a:pt x="6480" y="1709"/>
                              </a:cubicBezTo>
                              <a:cubicBezTo>
                                <a:pt x="6509" y="1734"/>
                                <a:pt x="6533" y="1762"/>
                                <a:pt x="6560" y="1789"/>
                              </a:cubicBezTo>
                              <a:cubicBezTo>
                                <a:pt x="6605" y="1924"/>
                                <a:pt x="6542" y="1787"/>
                                <a:pt x="6640" y="1869"/>
                              </a:cubicBezTo>
                              <a:cubicBezTo>
                                <a:pt x="6666" y="1890"/>
                                <a:pt x="6680" y="1922"/>
                                <a:pt x="6700" y="1949"/>
                              </a:cubicBezTo>
                              <a:cubicBezTo>
                                <a:pt x="6707" y="1969"/>
                                <a:pt x="6704" y="1996"/>
                                <a:pt x="6720" y="2009"/>
                              </a:cubicBezTo>
                              <a:cubicBezTo>
                                <a:pt x="6758" y="2039"/>
                                <a:pt x="6817" y="2027"/>
                                <a:pt x="6860" y="2049"/>
                              </a:cubicBezTo>
                              <a:cubicBezTo>
                                <a:pt x="6946" y="2092"/>
                                <a:pt x="6900" y="2087"/>
                                <a:pt x="6980" y="2149"/>
                              </a:cubicBezTo>
                              <a:cubicBezTo>
                                <a:pt x="7018" y="2179"/>
                                <a:pt x="7060" y="2202"/>
                                <a:pt x="7100" y="2229"/>
                              </a:cubicBezTo>
                              <a:cubicBezTo>
                                <a:pt x="7120" y="2242"/>
                                <a:pt x="7160" y="2269"/>
                                <a:pt x="7160" y="2269"/>
                              </a:cubicBezTo>
                              <a:cubicBezTo>
                                <a:pt x="7126" y="2407"/>
                                <a:pt x="7173" y="2329"/>
                                <a:pt x="7080" y="2329"/>
                              </a:cubicBezTo>
                              <a:cubicBezTo>
                                <a:pt x="7059" y="2329"/>
                                <a:pt x="7040" y="2342"/>
                                <a:pt x="7020" y="2349"/>
                              </a:cubicBezTo>
                              <a:cubicBezTo>
                                <a:pt x="6840" y="2304"/>
                                <a:pt x="6912" y="2326"/>
                                <a:pt x="6800" y="2289"/>
                              </a:cubicBezTo>
                              <a:cubicBezTo>
                                <a:pt x="6780" y="2296"/>
                                <a:pt x="6760" y="2317"/>
                                <a:pt x="6740" y="2309"/>
                              </a:cubicBezTo>
                              <a:cubicBezTo>
                                <a:pt x="6718" y="2300"/>
                                <a:pt x="6717" y="2266"/>
                                <a:pt x="6700" y="2249"/>
                              </a:cubicBezTo>
                              <a:cubicBezTo>
                                <a:pt x="6683" y="2232"/>
                                <a:pt x="6660" y="2222"/>
                                <a:pt x="6640" y="2209"/>
                              </a:cubicBezTo>
                              <a:cubicBezTo>
                                <a:pt x="6577" y="2114"/>
                                <a:pt x="6547" y="2131"/>
                                <a:pt x="6460" y="2069"/>
                              </a:cubicBezTo>
                              <a:cubicBezTo>
                                <a:pt x="6397" y="2024"/>
                                <a:pt x="6394" y="1996"/>
                                <a:pt x="6360" y="1929"/>
                              </a:cubicBezTo>
                              <a:cubicBezTo>
                                <a:pt x="6353" y="1896"/>
                                <a:pt x="6359" y="1857"/>
                                <a:pt x="6340" y="1829"/>
                              </a:cubicBezTo>
                              <a:cubicBezTo>
                                <a:pt x="6311" y="1785"/>
                                <a:pt x="6249" y="1819"/>
                                <a:pt x="6220" y="1829"/>
                              </a:cubicBezTo>
                              <a:cubicBezTo>
                                <a:pt x="6172" y="1972"/>
                                <a:pt x="6215" y="1926"/>
                                <a:pt x="6120" y="1989"/>
                              </a:cubicBezTo>
                              <a:cubicBezTo>
                                <a:pt x="6028" y="2127"/>
                                <a:pt x="6086" y="2094"/>
                                <a:pt x="5980" y="2129"/>
                              </a:cubicBezTo>
                              <a:cubicBezTo>
                                <a:pt x="5947" y="2122"/>
                                <a:pt x="5912" y="2121"/>
                                <a:pt x="5880" y="2109"/>
                              </a:cubicBezTo>
                              <a:cubicBezTo>
                                <a:pt x="5857" y="2101"/>
                                <a:pt x="5844" y="2074"/>
                                <a:pt x="5820" y="2069"/>
                              </a:cubicBezTo>
                              <a:cubicBezTo>
                                <a:pt x="5748" y="2054"/>
                                <a:pt x="5673" y="2056"/>
                                <a:pt x="5600" y="2049"/>
                              </a:cubicBezTo>
                              <a:cubicBezTo>
                                <a:pt x="5593" y="2022"/>
                                <a:pt x="5605" y="1981"/>
                                <a:pt x="5580" y="1969"/>
                              </a:cubicBezTo>
                              <a:cubicBezTo>
                                <a:pt x="5561" y="1960"/>
                                <a:pt x="5575" y="2014"/>
                                <a:pt x="5560" y="2029"/>
                              </a:cubicBezTo>
                              <a:cubicBezTo>
                                <a:pt x="5545" y="2044"/>
                                <a:pt x="5519" y="2040"/>
                                <a:pt x="5500" y="2049"/>
                              </a:cubicBezTo>
                              <a:cubicBezTo>
                                <a:pt x="5479" y="2060"/>
                                <a:pt x="5460" y="2076"/>
                                <a:pt x="5440" y="2089"/>
                              </a:cubicBezTo>
                              <a:cubicBezTo>
                                <a:pt x="5433" y="2109"/>
                                <a:pt x="5438" y="2137"/>
                                <a:pt x="5420" y="2149"/>
                              </a:cubicBezTo>
                              <a:cubicBezTo>
                                <a:pt x="5392" y="2168"/>
                                <a:pt x="5353" y="2160"/>
                                <a:pt x="5320" y="2169"/>
                              </a:cubicBezTo>
                              <a:cubicBezTo>
                                <a:pt x="5079" y="2235"/>
                                <a:pt x="5331" y="2193"/>
                                <a:pt x="5040" y="2229"/>
                              </a:cubicBezTo>
                              <a:cubicBezTo>
                                <a:pt x="5033" y="2196"/>
                                <a:pt x="5039" y="2157"/>
                                <a:pt x="5020" y="2129"/>
                              </a:cubicBezTo>
                              <a:cubicBezTo>
                                <a:pt x="5008" y="2111"/>
                                <a:pt x="4979" y="2118"/>
                                <a:pt x="4960" y="2109"/>
                              </a:cubicBezTo>
                              <a:cubicBezTo>
                                <a:pt x="4939" y="2098"/>
                                <a:pt x="4920" y="2082"/>
                                <a:pt x="4900" y="2069"/>
                              </a:cubicBezTo>
                              <a:cubicBezTo>
                                <a:pt x="4855" y="2076"/>
                                <a:pt x="4755" y="2076"/>
                                <a:pt x="4720" y="2129"/>
                              </a:cubicBezTo>
                              <a:cubicBezTo>
                                <a:pt x="4693" y="2169"/>
                                <a:pt x="4719" y="2241"/>
                                <a:pt x="4680" y="2269"/>
                              </a:cubicBezTo>
                              <a:cubicBezTo>
                                <a:pt x="4646" y="2294"/>
                                <a:pt x="4600" y="2296"/>
                                <a:pt x="4560" y="2309"/>
                              </a:cubicBezTo>
                              <a:cubicBezTo>
                                <a:pt x="4532" y="2318"/>
                                <a:pt x="4507" y="2336"/>
                                <a:pt x="4480" y="2349"/>
                              </a:cubicBezTo>
                              <a:cubicBezTo>
                                <a:pt x="4467" y="2329"/>
                                <a:pt x="4449" y="2311"/>
                                <a:pt x="4440" y="2289"/>
                              </a:cubicBezTo>
                              <a:cubicBezTo>
                                <a:pt x="4415" y="2231"/>
                                <a:pt x="4435" y="2193"/>
                                <a:pt x="4380" y="2149"/>
                              </a:cubicBezTo>
                              <a:cubicBezTo>
                                <a:pt x="4364" y="2136"/>
                                <a:pt x="4340" y="2136"/>
                                <a:pt x="4320" y="2129"/>
                              </a:cubicBezTo>
                              <a:cubicBezTo>
                                <a:pt x="4300" y="2102"/>
                                <a:pt x="4278" y="2077"/>
                                <a:pt x="4260" y="2049"/>
                              </a:cubicBezTo>
                              <a:cubicBezTo>
                                <a:pt x="4244" y="2024"/>
                                <a:pt x="4239" y="1992"/>
                                <a:pt x="4220" y="1969"/>
                              </a:cubicBezTo>
                              <a:cubicBezTo>
                                <a:pt x="4190" y="1933"/>
                                <a:pt x="4141" y="1923"/>
                                <a:pt x="4100" y="1909"/>
                              </a:cubicBezTo>
                              <a:cubicBezTo>
                                <a:pt x="3908" y="1973"/>
                                <a:pt x="4183" y="1903"/>
                                <a:pt x="4020" y="1849"/>
                              </a:cubicBezTo>
                              <a:cubicBezTo>
                                <a:pt x="3997" y="1841"/>
                                <a:pt x="3991" y="1888"/>
                                <a:pt x="3980" y="1909"/>
                              </a:cubicBezTo>
                              <a:cubicBezTo>
                                <a:pt x="3937" y="1994"/>
                                <a:pt x="3996" y="1957"/>
                                <a:pt x="3900" y="1989"/>
                              </a:cubicBezTo>
                              <a:cubicBezTo>
                                <a:pt x="3852" y="2133"/>
                                <a:pt x="3900" y="1953"/>
                                <a:pt x="3900" y="2129"/>
                              </a:cubicBezTo>
                              <a:cubicBezTo>
                                <a:pt x="3900" y="2223"/>
                                <a:pt x="3828" y="2263"/>
                                <a:pt x="3760" y="2309"/>
                              </a:cubicBezTo>
                              <a:cubicBezTo>
                                <a:pt x="3644" y="2292"/>
                                <a:pt x="3592" y="2290"/>
                                <a:pt x="3500" y="2229"/>
                              </a:cubicBezTo>
                              <a:cubicBezTo>
                                <a:pt x="3447" y="2069"/>
                                <a:pt x="3527" y="2256"/>
                                <a:pt x="3420" y="2149"/>
                              </a:cubicBezTo>
                              <a:cubicBezTo>
                                <a:pt x="3405" y="2134"/>
                                <a:pt x="3413" y="2105"/>
                                <a:pt x="3400" y="2089"/>
                              </a:cubicBezTo>
                              <a:cubicBezTo>
                                <a:pt x="3385" y="2070"/>
                                <a:pt x="3360" y="2062"/>
                                <a:pt x="3340" y="2049"/>
                              </a:cubicBezTo>
                              <a:cubicBezTo>
                                <a:pt x="3300" y="2056"/>
                                <a:pt x="3259" y="2080"/>
                                <a:pt x="3220" y="2069"/>
                              </a:cubicBezTo>
                              <a:cubicBezTo>
                                <a:pt x="3200" y="2063"/>
                                <a:pt x="3215" y="2024"/>
                                <a:pt x="3200" y="2009"/>
                              </a:cubicBezTo>
                              <a:cubicBezTo>
                                <a:pt x="3153" y="1962"/>
                                <a:pt x="3041" y="1944"/>
                                <a:pt x="2980" y="1929"/>
                              </a:cubicBezTo>
                              <a:cubicBezTo>
                                <a:pt x="2953" y="1936"/>
                                <a:pt x="2925" y="1938"/>
                                <a:pt x="2900" y="1949"/>
                              </a:cubicBezTo>
                              <a:cubicBezTo>
                                <a:pt x="2878" y="1958"/>
                                <a:pt x="2863" y="1983"/>
                                <a:pt x="2840" y="1989"/>
                              </a:cubicBezTo>
                              <a:cubicBezTo>
                                <a:pt x="2788" y="2003"/>
                                <a:pt x="2733" y="2002"/>
                                <a:pt x="2680" y="2009"/>
                              </a:cubicBezTo>
                              <a:cubicBezTo>
                                <a:pt x="2547" y="2142"/>
                                <a:pt x="2690" y="2035"/>
                                <a:pt x="2560" y="2049"/>
                              </a:cubicBezTo>
                              <a:cubicBezTo>
                                <a:pt x="2477" y="2058"/>
                                <a:pt x="2389" y="2103"/>
                                <a:pt x="2320" y="2149"/>
                              </a:cubicBezTo>
                              <a:cubicBezTo>
                                <a:pt x="2260" y="2142"/>
                                <a:pt x="2199" y="2144"/>
                                <a:pt x="2140" y="2129"/>
                              </a:cubicBezTo>
                              <a:cubicBezTo>
                                <a:pt x="2117" y="2123"/>
                                <a:pt x="2101" y="2100"/>
                                <a:pt x="2080" y="2089"/>
                              </a:cubicBezTo>
                              <a:cubicBezTo>
                                <a:pt x="2061" y="2080"/>
                                <a:pt x="2040" y="2076"/>
                                <a:pt x="2020" y="2069"/>
                              </a:cubicBezTo>
                              <a:cubicBezTo>
                                <a:pt x="2000" y="2082"/>
                                <a:pt x="1984" y="2109"/>
                                <a:pt x="1960" y="2109"/>
                              </a:cubicBezTo>
                              <a:cubicBezTo>
                                <a:pt x="1936" y="2109"/>
                                <a:pt x="1916" y="2087"/>
                                <a:pt x="1900" y="2069"/>
                              </a:cubicBezTo>
                              <a:cubicBezTo>
                                <a:pt x="1737" y="1882"/>
                                <a:pt x="1895" y="1999"/>
                                <a:pt x="1760" y="1909"/>
                              </a:cubicBezTo>
                              <a:cubicBezTo>
                                <a:pt x="1747" y="1882"/>
                                <a:pt x="1747" y="1842"/>
                                <a:pt x="1720" y="1829"/>
                              </a:cubicBezTo>
                              <a:cubicBezTo>
                                <a:pt x="1666" y="1802"/>
                                <a:pt x="1604" y="1885"/>
                                <a:pt x="1580" y="1909"/>
                              </a:cubicBezTo>
                              <a:cubicBezTo>
                                <a:pt x="1560" y="1902"/>
                                <a:pt x="1535" y="1904"/>
                                <a:pt x="1520" y="1889"/>
                              </a:cubicBezTo>
                              <a:cubicBezTo>
                                <a:pt x="1505" y="1874"/>
                                <a:pt x="1509" y="1848"/>
                                <a:pt x="1500" y="1829"/>
                              </a:cubicBezTo>
                              <a:cubicBezTo>
                                <a:pt x="1489" y="1808"/>
                                <a:pt x="1473" y="1789"/>
                                <a:pt x="1460" y="1769"/>
                              </a:cubicBezTo>
                              <a:cubicBezTo>
                                <a:pt x="1448" y="1806"/>
                                <a:pt x="1423" y="1914"/>
                                <a:pt x="1380" y="1949"/>
                              </a:cubicBezTo>
                              <a:cubicBezTo>
                                <a:pt x="1364" y="1962"/>
                                <a:pt x="1340" y="1962"/>
                                <a:pt x="1320" y="1969"/>
                              </a:cubicBezTo>
                              <a:cubicBezTo>
                                <a:pt x="1258" y="1928"/>
                                <a:pt x="1180" y="1914"/>
                                <a:pt x="1120" y="1869"/>
                              </a:cubicBezTo>
                              <a:cubicBezTo>
                                <a:pt x="1103" y="1856"/>
                                <a:pt x="1112" y="1827"/>
                                <a:pt x="1100" y="1809"/>
                              </a:cubicBezTo>
                              <a:cubicBezTo>
                                <a:pt x="1084" y="1785"/>
                                <a:pt x="1060" y="1769"/>
                                <a:pt x="1040" y="1749"/>
                              </a:cubicBezTo>
                              <a:cubicBezTo>
                                <a:pt x="1005" y="1643"/>
                                <a:pt x="1038" y="1701"/>
                                <a:pt x="900" y="1609"/>
                              </a:cubicBezTo>
                              <a:cubicBezTo>
                                <a:pt x="880" y="1596"/>
                                <a:pt x="860" y="1582"/>
                                <a:pt x="840" y="1569"/>
                              </a:cubicBezTo>
                              <a:cubicBezTo>
                                <a:pt x="820" y="1556"/>
                                <a:pt x="780" y="1529"/>
                                <a:pt x="780" y="1529"/>
                              </a:cubicBezTo>
                              <a:cubicBezTo>
                                <a:pt x="760" y="1536"/>
                                <a:pt x="728" y="1529"/>
                                <a:pt x="720" y="1549"/>
                              </a:cubicBezTo>
                              <a:cubicBezTo>
                                <a:pt x="631" y="1772"/>
                                <a:pt x="781" y="1702"/>
                                <a:pt x="640" y="1749"/>
                              </a:cubicBezTo>
                              <a:cubicBezTo>
                                <a:pt x="613" y="1742"/>
                                <a:pt x="581" y="1747"/>
                                <a:pt x="560" y="1729"/>
                              </a:cubicBezTo>
                              <a:cubicBezTo>
                                <a:pt x="395" y="1592"/>
                                <a:pt x="630" y="1686"/>
                                <a:pt x="460" y="1629"/>
                              </a:cubicBezTo>
                              <a:cubicBezTo>
                                <a:pt x="447" y="1609"/>
                                <a:pt x="437" y="1586"/>
                                <a:pt x="420" y="1569"/>
                              </a:cubicBezTo>
                              <a:cubicBezTo>
                                <a:pt x="403" y="1552"/>
                                <a:pt x="375" y="1547"/>
                                <a:pt x="360" y="1529"/>
                              </a:cubicBezTo>
                              <a:cubicBezTo>
                                <a:pt x="341" y="1506"/>
                                <a:pt x="341" y="1470"/>
                                <a:pt x="320" y="1449"/>
                              </a:cubicBezTo>
                              <a:cubicBezTo>
                                <a:pt x="310" y="1439"/>
                                <a:pt x="181" y="1409"/>
                                <a:pt x="180" y="1409"/>
                              </a:cubicBezTo>
                              <a:cubicBezTo>
                                <a:pt x="136" y="1540"/>
                                <a:pt x="197" y="1411"/>
                                <a:pt x="100" y="1489"/>
                              </a:cubicBezTo>
                              <a:cubicBezTo>
                                <a:pt x="81" y="1504"/>
                                <a:pt x="77" y="1532"/>
                                <a:pt x="60" y="1549"/>
                              </a:cubicBezTo>
                              <a:cubicBezTo>
                                <a:pt x="43" y="1566"/>
                                <a:pt x="0" y="1589"/>
                                <a:pt x="0" y="1589"/>
                              </a:cubicBezTo>
                            </a:path>
                          </a:pathLst>
                        </a:custGeom>
                        <a:noFill/>
                        <a:ln w="9525">
                          <a:solidFill>
                            <a:srgbClr val="000000"/>
                          </a:solidFill>
                          <a:round/>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endParaRPr lang="fr-FR"/>
                          </a:p>
                        </a:txBody>
                        <a:useSpRect/>
                      </a:txSp>
                    </a:sp>
                    <a:sp>
                      <a:nvSpPr>
                        <a:cNvPr id="30727" name="Text Box 9"/>
                        <a:cNvSpPr txBox="1">
                          <a:spLocks noChangeArrowheads="1"/>
                        </a:cNvSpPr>
                      </a:nvSpPr>
                      <a:spPr bwMode="auto">
                        <a:xfrm>
                          <a:off x="2095500" y="1844675"/>
                          <a:ext cx="1755775" cy="387350"/>
                        </a:xfrm>
                        <a:prstGeom prst="rect">
                          <a:avLst/>
                        </a:prstGeom>
                        <a:solidFill>
                          <a:srgbClr val="FFFFFF"/>
                        </a:solid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r>
                              <a:rPr lang="fr-FR" altLang="zh-CN" b="1" dirty="0">
                                <a:ea typeface="SimSun" pitchFamily="2" charset="-122"/>
                                <a:cs typeface="Arial" charset="0"/>
                              </a:rPr>
                              <a:t>Cours à terme</a:t>
                            </a:r>
                            <a:endParaRPr lang="fr-FR" dirty="0">
                              <a:ea typeface="SimSun" pitchFamily="2" charset="-122"/>
                              <a:cs typeface="Arial" charset="0"/>
                            </a:endParaRPr>
                          </a:p>
                        </a:txBody>
                        <a:useSpRect/>
                      </a:txSp>
                    </a:sp>
                    <a:sp>
                      <a:nvSpPr>
                        <a:cNvPr id="30728" name="Text Box 10"/>
                        <a:cNvSpPr txBox="1">
                          <a:spLocks noChangeArrowheads="1"/>
                        </a:cNvSpPr>
                      </a:nvSpPr>
                      <a:spPr bwMode="auto">
                        <a:xfrm>
                          <a:off x="1631950" y="4437063"/>
                          <a:ext cx="2363788" cy="579437"/>
                        </a:xfrm>
                        <a:prstGeom prst="rect">
                          <a:avLst/>
                        </a:prstGeom>
                        <a:solidFill>
                          <a:srgbClr val="FFFFFF"/>
                        </a:solid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r>
                              <a:rPr lang="fr-FR" altLang="zh-CN" b="1">
                                <a:ea typeface="SimSun" pitchFamily="2" charset="-122"/>
                                <a:cs typeface="Arial" charset="0"/>
                              </a:rPr>
                              <a:t>Cours au comptant</a:t>
                            </a:r>
                            <a:endParaRPr lang="fr-FR">
                              <a:ea typeface="SimSun" pitchFamily="2" charset="-122"/>
                              <a:cs typeface="Arial" charset="0"/>
                            </a:endParaRPr>
                          </a:p>
                        </a:txBody>
                        <a:useSpRect/>
                      </a:txSp>
                    </a:sp>
                    <a:sp>
                      <a:nvSpPr>
                        <a:cNvPr id="30729" name="Line 11"/>
                        <a:cNvSpPr>
                          <a:spLocks noChangeShapeType="1"/>
                        </a:cNvSpPr>
                      </a:nvSpPr>
                      <a:spPr bwMode="auto">
                        <a:xfrm>
                          <a:off x="7308850" y="3068638"/>
                          <a:ext cx="1588" cy="2125662"/>
                        </a:xfrm>
                        <a:prstGeom prst="line">
                          <a:avLst/>
                        </a:prstGeom>
                        <a:noFill/>
                        <a:ln w="38100">
                          <a:solidFill>
                            <a:srgbClr val="000000"/>
                          </a:solidFill>
                          <a:round/>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endParaRPr lang="fr-FR"/>
                          </a:p>
                        </a:txBody>
                        <a:useSpRect/>
                      </a:txSp>
                    </a:sp>
                    <a:sp>
                      <a:nvSpPr>
                        <a:cNvPr id="30730" name="Text Box 12"/>
                        <a:cNvSpPr txBox="1">
                          <a:spLocks noChangeArrowheads="1"/>
                        </a:cNvSpPr>
                      </a:nvSpPr>
                      <a:spPr bwMode="auto">
                        <a:xfrm>
                          <a:off x="6696075" y="2492375"/>
                          <a:ext cx="1260475" cy="387350"/>
                        </a:xfrm>
                        <a:prstGeom prst="rect">
                          <a:avLst/>
                        </a:prstGeom>
                        <a:solidFill>
                          <a:srgbClr val="FFFFFF"/>
                        </a:solid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pPr algn="ctr"/>
                            <a:r>
                              <a:rPr lang="fr-FR" altLang="zh-CN" b="1">
                                <a:ea typeface="SimSun" pitchFamily="2" charset="-122"/>
                                <a:cs typeface="Arial" charset="0"/>
                              </a:rPr>
                              <a:t>Livraison</a:t>
                            </a:r>
                            <a:endParaRPr lang="fr-FR">
                              <a:ea typeface="SimSun" pitchFamily="2" charset="-122"/>
                              <a:cs typeface="Arial" charset="0"/>
                            </a:endParaRPr>
                          </a:p>
                        </a:txBody>
                        <a:useSpRect/>
                      </a:txSp>
                    </a:sp>
                    <a:sp>
                      <a:nvSpPr>
                        <a:cNvPr id="30731" name="Text Box 13"/>
                        <a:cNvSpPr txBox="1">
                          <a:spLocks noChangeArrowheads="1"/>
                        </a:cNvSpPr>
                      </a:nvSpPr>
                      <a:spPr bwMode="auto">
                        <a:xfrm>
                          <a:off x="2411413" y="3284538"/>
                          <a:ext cx="1260475" cy="420687"/>
                        </a:xfrm>
                        <a:prstGeom prst="rect">
                          <a:avLst/>
                        </a:prstGeom>
                        <a:solidFill>
                          <a:srgbClr val="FFFFFF"/>
                        </a:solidFill>
                        <a:ln w="9525">
                          <a:noFill/>
                          <a:miter lim="800000"/>
                          <a:headEnd/>
                          <a:tailEnd/>
                        </a:ln>
                      </a:spPr>
                      <a:txSp>
                        <a:txBody>
                          <a:bodyPr/>
                          <a:lstStyle>
                            <a:defPPr>
                              <a:defRPr lang="en-US"/>
                            </a:defPPr>
                            <a:lvl1pPr algn="l" rtl="0" fontAlgn="base">
                              <a:spcBef>
                                <a:spcPct val="0"/>
                              </a:spcBef>
                              <a:spcAft>
                                <a:spcPct val="0"/>
                              </a:spcAft>
                              <a:defRPr kern="1200">
                                <a:solidFill>
                                  <a:schemeClr val="tx1"/>
                                </a:solidFill>
                                <a:latin typeface="Book Antiqua" pitchFamily="18" charset="0"/>
                                <a:ea typeface="+mn-ea"/>
                                <a:cs typeface="Angsana New" pitchFamily="18" charset="-34"/>
                              </a:defRPr>
                            </a:lvl1pPr>
                            <a:lvl2pPr marL="457200" algn="l" rtl="0" fontAlgn="base">
                              <a:spcBef>
                                <a:spcPct val="0"/>
                              </a:spcBef>
                              <a:spcAft>
                                <a:spcPct val="0"/>
                              </a:spcAft>
                              <a:defRPr kern="1200">
                                <a:solidFill>
                                  <a:schemeClr val="tx1"/>
                                </a:solidFill>
                                <a:latin typeface="Book Antiqua" pitchFamily="18" charset="0"/>
                                <a:ea typeface="+mn-ea"/>
                                <a:cs typeface="Angsana New" pitchFamily="18" charset="-34"/>
                              </a:defRPr>
                            </a:lvl2pPr>
                            <a:lvl3pPr marL="914400" algn="l" rtl="0" fontAlgn="base">
                              <a:spcBef>
                                <a:spcPct val="0"/>
                              </a:spcBef>
                              <a:spcAft>
                                <a:spcPct val="0"/>
                              </a:spcAft>
                              <a:defRPr kern="1200">
                                <a:solidFill>
                                  <a:schemeClr val="tx1"/>
                                </a:solidFill>
                                <a:latin typeface="Book Antiqua" pitchFamily="18" charset="0"/>
                                <a:ea typeface="+mn-ea"/>
                                <a:cs typeface="Angsana New" pitchFamily="18" charset="-34"/>
                              </a:defRPr>
                            </a:lvl3pPr>
                            <a:lvl4pPr marL="1371600" algn="l" rtl="0" fontAlgn="base">
                              <a:spcBef>
                                <a:spcPct val="0"/>
                              </a:spcBef>
                              <a:spcAft>
                                <a:spcPct val="0"/>
                              </a:spcAft>
                              <a:defRPr kern="1200">
                                <a:solidFill>
                                  <a:schemeClr val="tx1"/>
                                </a:solidFill>
                                <a:latin typeface="Book Antiqua" pitchFamily="18" charset="0"/>
                                <a:ea typeface="+mn-ea"/>
                                <a:cs typeface="Angsana New" pitchFamily="18" charset="-34"/>
                              </a:defRPr>
                            </a:lvl4pPr>
                            <a:lvl5pPr marL="1828800" algn="l" rtl="0" fontAlgn="base">
                              <a:spcBef>
                                <a:spcPct val="0"/>
                              </a:spcBef>
                              <a:spcAft>
                                <a:spcPct val="0"/>
                              </a:spcAft>
                              <a:defRPr kern="1200">
                                <a:solidFill>
                                  <a:schemeClr val="tx1"/>
                                </a:solidFill>
                                <a:latin typeface="Book Antiqua" pitchFamily="18" charset="0"/>
                                <a:ea typeface="+mn-ea"/>
                                <a:cs typeface="Angsana New" pitchFamily="18" charset="-34"/>
                              </a:defRPr>
                            </a:lvl5pPr>
                            <a:lvl6pPr marL="2286000" algn="l" defTabSz="914400" rtl="0" eaLnBrk="1" latinLnBrk="0" hangingPunct="1">
                              <a:defRPr kern="1200">
                                <a:solidFill>
                                  <a:schemeClr val="tx1"/>
                                </a:solidFill>
                                <a:latin typeface="Book Antiqua" pitchFamily="18" charset="0"/>
                                <a:ea typeface="+mn-ea"/>
                                <a:cs typeface="Angsana New" pitchFamily="18" charset="-34"/>
                              </a:defRPr>
                            </a:lvl6pPr>
                            <a:lvl7pPr marL="2743200" algn="l" defTabSz="914400" rtl="0" eaLnBrk="1" latinLnBrk="0" hangingPunct="1">
                              <a:defRPr kern="1200">
                                <a:solidFill>
                                  <a:schemeClr val="tx1"/>
                                </a:solidFill>
                                <a:latin typeface="Book Antiqua" pitchFamily="18" charset="0"/>
                                <a:ea typeface="+mn-ea"/>
                                <a:cs typeface="Angsana New" pitchFamily="18" charset="-34"/>
                              </a:defRPr>
                            </a:lvl7pPr>
                            <a:lvl8pPr marL="3200400" algn="l" defTabSz="914400" rtl="0" eaLnBrk="1" latinLnBrk="0" hangingPunct="1">
                              <a:defRPr kern="1200">
                                <a:solidFill>
                                  <a:schemeClr val="tx1"/>
                                </a:solidFill>
                                <a:latin typeface="Book Antiqua" pitchFamily="18" charset="0"/>
                                <a:ea typeface="+mn-ea"/>
                                <a:cs typeface="Angsana New" pitchFamily="18" charset="-34"/>
                              </a:defRPr>
                            </a:lvl8pPr>
                            <a:lvl9pPr marL="3657600" algn="l" defTabSz="914400" rtl="0" eaLnBrk="1" latinLnBrk="0" hangingPunct="1">
                              <a:defRPr kern="1200">
                                <a:solidFill>
                                  <a:schemeClr val="tx1"/>
                                </a:solidFill>
                                <a:latin typeface="Book Antiqua" pitchFamily="18" charset="0"/>
                                <a:ea typeface="+mn-ea"/>
                                <a:cs typeface="Angsana New" pitchFamily="18" charset="-34"/>
                              </a:defRPr>
                            </a:lvl9pPr>
                          </a:lstStyle>
                          <a:p>
                            <a:pPr algn="ctr"/>
                            <a:r>
                              <a:rPr lang="fr-FR" altLang="zh-CN" i="1">
                                <a:ea typeface="SimSun" pitchFamily="2" charset="-122"/>
                                <a:cs typeface="Arial" charset="0"/>
                              </a:rPr>
                              <a:t>BASE</a:t>
                            </a:r>
                            <a:endParaRPr lang="fr-FR">
                              <a:ea typeface="SimSun" pitchFamily="2" charset="-122"/>
                              <a:cs typeface="Arial" charset="0"/>
                            </a:endParaRPr>
                          </a:p>
                        </a:txBody>
                        <a:useSpRect/>
                      </a:txSp>
                    </a:sp>
                  </a:grpSp>
                </lc:lockedCanvas>
              </a:graphicData>
            </a:graphic>
          </wp:inline>
        </w:drawing>
      </w:r>
    </w:p>
    <w:p w:rsidR="00B15731" w:rsidRPr="002553BB" w:rsidRDefault="00B15731" w:rsidP="00B15731">
      <w:pPr>
        <w:ind w:firstLine="708"/>
        <w:jc w:val="both"/>
        <w:rPr>
          <w:rFonts w:ascii="Times New Roman" w:hAnsi="Times New Roman" w:cs="Times New Roman"/>
          <w:sz w:val="24"/>
          <w:szCs w:val="24"/>
        </w:rPr>
      </w:pPr>
      <w:r w:rsidRPr="002553BB">
        <w:rPr>
          <w:rFonts w:ascii="Times New Roman" w:hAnsi="Times New Roman" w:cs="Times New Roman"/>
          <w:b/>
          <w:sz w:val="24"/>
          <w:szCs w:val="24"/>
        </w:rPr>
        <w:t>Le coût de portage</w:t>
      </w:r>
      <w:r w:rsidRPr="002553BB">
        <w:rPr>
          <w:rFonts w:ascii="Times New Roman" w:hAnsi="Times New Roman" w:cs="Times New Roman"/>
          <w:sz w:val="24"/>
          <w:szCs w:val="24"/>
        </w:rPr>
        <w:t xml:space="preserve"> représente le coût du financement de l’achat de l’actif et de son stockage jusqu’à l’échéance, date à laquelle le bien est livré dans le cadre du contrat à terme. </w:t>
      </w:r>
    </w:p>
    <w:p w:rsidR="00B15731" w:rsidRPr="002553BB" w:rsidRDefault="00B15731" w:rsidP="00B15731">
      <w:pPr>
        <w:ind w:firstLine="708"/>
        <w:jc w:val="both"/>
        <w:rPr>
          <w:rFonts w:ascii="Times New Roman" w:hAnsi="Times New Roman" w:cs="Times New Roman"/>
          <w:sz w:val="24"/>
          <w:szCs w:val="24"/>
        </w:rPr>
      </w:pPr>
      <w:r w:rsidRPr="002553BB">
        <w:rPr>
          <w:rFonts w:ascii="Times New Roman" w:hAnsi="Times New Roman" w:cs="Times New Roman"/>
          <w:sz w:val="24"/>
          <w:szCs w:val="24"/>
        </w:rPr>
        <w:t xml:space="preserve">Plus l’échéance du contrat à terme se rapproche, plus le coût de portage est faible. Au fur et à mesure que se rapproche le mois de livraison, les anticipations reflétées dans le cours du terme deviennent les mêmes que celles du marché au comptant. </w:t>
      </w:r>
    </w:p>
    <w:p w:rsidR="00B15731" w:rsidRDefault="00B15731" w:rsidP="00B15731">
      <w:pPr>
        <w:jc w:val="both"/>
        <w:rPr>
          <w:rFonts w:ascii="Times New Roman" w:hAnsi="Times New Roman" w:cs="Times New Roman"/>
          <w:bCs/>
          <w:sz w:val="24"/>
          <w:szCs w:val="24"/>
        </w:rPr>
      </w:pPr>
      <w:r>
        <w:rPr>
          <w:rFonts w:ascii="Times New Roman" w:hAnsi="Times New Roman" w:cs="Times New Roman"/>
          <w:sz w:val="24"/>
          <w:szCs w:val="24"/>
        </w:rPr>
        <w:t xml:space="preserve">            </w:t>
      </w:r>
      <w:r w:rsidRPr="00D64A4C">
        <w:rPr>
          <w:rFonts w:ascii="Times New Roman" w:hAnsi="Times New Roman" w:cs="Times New Roman"/>
          <w:bCs/>
          <w:sz w:val="24"/>
          <w:szCs w:val="24"/>
        </w:rPr>
        <w:t>Donc le terme de base est utilisé pour désigner la différence entre le cours à terme et le cours au comptant sur le même actif</w:t>
      </w:r>
      <w:r>
        <w:rPr>
          <w:rFonts w:ascii="Times New Roman" w:hAnsi="Times New Roman" w:cs="Times New Roman"/>
          <w:bCs/>
          <w:sz w:val="24"/>
          <w:szCs w:val="24"/>
        </w:rPr>
        <w:t xml:space="preserve"> (c’est </w:t>
      </w:r>
      <w:r w:rsidRPr="00D64A4C">
        <w:rPr>
          <w:rFonts w:ascii="Times New Roman" w:hAnsi="Times New Roman" w:cs="Times New Roman"/>
          <w:bCs/>
          <w:sz w:val="24"/>
          <w:szCs w:val="24"/>
        </w:rPr>
        <w:t>le cours du contrat à terme sur l’échéance la plus proche moins le cours au comptant</w:t>
      </w:r>
      <w:r>
        <w:rPr>
          <w:rFonts w:ascii="Times New Roman" w:hAnsi="Times New Roman" w:cs="Times New Roman"/>
          <w:bCs/>
          <w:sz w:val="24"/>
          <w:szCs w:val="24"/>
        </w:rPr>
        <w:t>).</w:t>
      </w:r>
      <w:r w:rsidRPr="00D64A4C">
        <w:rPr>
          <w:rFonts w:ascii="Times New Roman" w:hAnsi="Times New Roman" w:cs="Times New Roman"/>
          <w:bCs/>
          <w:sz w:val="24"/>
          <w:szCs w:val="24"/>
        </w:rPr>
        <w:t xml:space="preserve"> </w:t>
      </w:r>
    </w:p>
    <w:p w:rsidR="00B15731" w:rsidRPr="004851D5" w:rsidRDefault="00B15731" w:rsidP="00B15731">
      <w:pPr>
        <w:rPr>
          <w:rFonts w:ascii="Times New Roman" w:hAnsi="Times New Roman" w:cs="Times New Roman"/>
          <w:b/>
          <w:sz w:val="28"/>
          <w:szCs w:val="28"/>
        </w:rPr>
      </w:pPr>
      <w:r w:rsidRPr="004851D5">
        <w:rPr>
          <w:rFonts w:ascii="Times New Roman" w:hAnsi="Times New Roman" w:cs="Times New Roman"/>
          <w:b/>
          <w:sz w:val="28"/>
          <w:szCs w:val="28"/>
        </w:rPr>
        <w:t>2-2-Opération de couverture du risque d’un exploitant agricole</w:t>
      </w:r>
    </w:p>
    <w:p w:rsidR="00B15731" w:rsidRPr="002553BB" w:rsidRDefault="00B15731" w:rsidP="00B15731">
      <w:pPr>
        <w:jc w:val="both"/>
        <w:rPr>
          <w:rFonts w:ascii="Times New Roman" w:hAnsi="Times New Roman" w:cs="Times New Roman"/>
          <w:sz w:val="24"/>
          <w:szCs w:val="24"/>
        </w:rPr>
      </w:pPr>
      <w:r w:rsidRPr="002553BB">
        <w:rPr>
          <w:rFonts w:ascii="Times New Roman" w:hAnsi="Times New Roman" w:cs="Times New Roman"/>
          <w:b/>
          <w:sz w:val="28"/>
          <w:szCs w:val="28"/>
        </w:rPr>
        <w:t xml:space="preserve">             </w:t>
      </w:r>
      <w:r w:rsidRPr="002553BB">
        <w:rPr>
          <w:rFonts w:ascii="Times New Roman" w:hAnsi="Times New Roman" w:cs="Times New Roman"/>
          <w:sz w:val="24"/>
          <w:szCs w:val="24"/>
        </w:rPr>
        <w:t xml:space="preserve">Un exploitant agricole sème du colza sur 100 hectares en septembre 2008. Son rendement prévisionnel est de 40 q/ha, par conséquent, il peut penser récolter 4 000 q en juillet 2009. Il est cependant confronté à un risque de variation des prix jusqu’à la vente physique. Il souhaite ainsi se couvrir en fixant de manière précoce son prix objectif. </w:t>
      </w:r>
    </w:p>
    <w:p w:rsidR="00B15731" w:rsidRPr="002553BB" w:rsidRDefault="00B15731" w:rsidP="00B15731">
      <w:pPr>
        <w:jc w:val="both"/>
        <w:rPr>
          <w:rFonts w:ascii="Times New Roman" w:hAnsi="Times New Roman" w:cs="Times New Roman"/>
          <w:sz w:val="24"/>
          <w:szCs w:val="24"/>
        </w:rPr>
      </w:pPr>
      <w:r w:rsidRPr="002553BB">
        <w:rPr>
          <w:rFonts w:ascii="Times New Roman" w:hAnsi="Times New Roman" w:cs="Times New Roman"/>
          <w:sz w:val="24"/>
          <w:szCs w:val="24"/>
        </w:rPr>
        <w:t xml:space="preserve">            </w:t>
      </w:r>
      <w:r w:rsidRPr="002553BB">
        <w:rPr>
          <w:rFonts w:ascii="Times New Roman" w:hAnsi="Times New Roman" w:cs="Times New Roman"/>
          <w:sz w:val="24"/>
          <w:szCs w:val="24"/>
          <w:u w:val="single"/>
        </w:rPr>
        <w:t>Première étape</w:t>
      </w:r>
      <w:r w:rsidRPr="002553BB">
        <w:rPr>
          <w:rFonts w:ascii="Times New Roman" w:hAnsi="Times New Roman" w:cs="Times New Roman"/>
          <w:sz w:val="24"/>
          <w:szCs w:val="24"/>
        </w:rPr>
        <w:t xml:space="preserve"> : L’exploitant agricole prend connaissance de son marché (principaux producteurs, acheteurs, exportateurs,  zone de déficit ou de surplus au niveau international, </w:t>
      </w:r>
      <w:r w:rsidRPr="002553BB">
        <w:rPr>
          <w:rFonts w:ascii="Times New Roman" w:hAnsi="Times New Roman" w:cs="Times New Roman"/>
          <w:sz w:val="24"/>
          <w:szCs w:val="24"/>
        </w:rPr>
        <w:lastRenderedPageBreak/>
        <w:t>national et local, évolution du coût de l’énergie, du coût du fret, de la parité $/€, aléas climatiques..).</w:t>
      </w:r>
    </w:p>
    <w:p w:rsidR="00B15731" w:rsidRPr="002553BB" w:rsidRDefault="00B15731" w:rsidP="00B15731">
      <w:pPr>
        <w:jc w:val="both"/>
        <w:rPr>
          <w:rFonts w:ascii="Times New Roman" w:hAnsi="Times New Roman" w:cs="Times New Roman"/>
          <w:sz w:val="24"/>
          <w:szCs w:val="24"/>
        </w:rPr>
      </w:pPr>
      <w:r w:rsidRPr="002553BB">
        <w:rPr>
          <w:rFonts w:ascii="Times New Roman" w:hAnsi="Times New Roman" w:cs="Times New Roman"/>
          <w:sz w:val="24"/>
          <w:szCs w:val="24"/>
        </w:rPr>
        <w:t xml:space="preserve">           </w:t>
      </w:r>
      <w:r w:rsidRPr="002553BB">
        <w:rPr>
          <w:rFonts w:ascii="Times New Roman" w:hAnsi="Times New Roman" w:cs="Times New Roman"/>
          <w:sz w:val="24"/>
          <w:szCs w:val="24"/>
          <w:u w:val="single"/>
        </w:rPr>
        <w:t>Deuxième étape</w:t>
      </w:r>
      <w:r w:rsidRPr="002553BB">
        <w:rPr>
          <w:rFonts w:ascii="Times New Roman" w:hAnsi="Times New Roman" w:cs="Times New Roman"/>
          <w:sz w:val="24"/>
          <w:szCs w:val="24"/>
        </w:rPr>
        <w:t xml:space="preserve"> : L’exploitant agricole prend connaissance de ses coûts de production et les confronte au marché. Il peut ainsi apprécier son niveau de compétitivité et juger l’attractivité d’un prix. </w:t>
      </w:r>
    </w:p>
    <w:p w:rsidR="00B15731" w:rsidRPr="002553BB" w:rsidRDefault="00B15731" w:rsidP="00B15731">
      <w:pPr>
        <w:jc w:val="both"/>
        <w:rPr>
          <w:rFonts w:ascii="Times New Roman" w:hAnsi="Times New Roman" w:cs="Times New Roman"/>
          <w:sz w:val="24"/>
          <w:szCs w:val="24"/>
        </w:rPr>
      </w:pPr>
      <w:r w:rsidRPr="002553BB">
        <w:rPr>
          <w:rFonts w:ascii="Times New Roman" w:hAnsi="Times New Roman" w:cs="Times New Roman"/>
          <w:sz w:val="24"/>
          <w:szCs w:val="24"/>
        </w:rPr>
        <w:t xml:space="preserve">          </w:t>
      </w:r>
      <w:r w:rsidRPr="002553BB">
        <w:rPr>
          <w:rFonts w:ascii="Times New Roman" w:hAnsi="Times New Roman" w:cs="Times New Roman"/>
          <w:sz w:val="24"/>
          <w:szCs w:val="24"/>
          <w:u w:val="single"/>
        </w:rPr>
        <w:t>Troisième étape</w:t>
      </w:r>
      <w:r w:rsidRPr="002553BB">
        <w:rPr>
          <w:rFonts w:ascii="Times New Roman" w:hAnsi="Times New Roman" w:cs="Times New Roman"/>
          <w:sz w:val="24"/>
          <w:szCs w:val="24"/>
        </w:rPr>
        <w:t xml:space="preserve"> : L’exploitant agricole déduit de son coût de production et du prix de marché, un prix objectif, c’est-à-dire un prix qui lui assure un revenu à l’hectare détermi</w:t>
      </w:r>
      <w:r>
        <w:rPr>
          <w:rFonts w:ascii="Times New Roman" w:hAnsi="Times New Roman" w:cs="Times New Roman"/>
          <w:sz w:val="24"/>
          <w:szCs w:val="24"/>
        </w:rPr>
        <w:t>né.</w:t>
      </w:r>
    </w:p>
    <w:p w:rsidR="00B15731" w:rsidRPr="008A0CF6" w:rsidRDefault="00B15731" w:rsidP="00B15731">
      <w:pPr>
        <w:jc w:val="both"/>
        <w:rPr>
          <w:rFonts w:ascii="Times New Roman" w:hAnsi="Times New Roman" w:cs="Times New Roman"/>
          <w:sz w:val="24"/>
          <w:szCs w:val="24"/>
        </w:rPr>
      </w:pPr>
      <w:r>
        <w:rPr>
          <w:rFonts w:ascii="Times New Roman" w:hAnsi="Times New Roman" w:cs="Times New Roman"/>
          <w:sz w:val="24"/>
          <w:szCs w:val="24"/>
        </w:rPr>
        <w:t xml:space="preserve">          </w:t>
      </w:r>
      <w:r w:rsidRPr="008A0CF6">
        <w:rPr>
          <w:rFonts w:ascii="Times New Roman" w:hAnsi="Times New Roman" w:cs="Times New Roman"/>
          <w:sz w:val="24"/>
          <w:szCs w:val="24"/>
        </w:rPr>
        <w:t>A cette même date, il consulte les cotations du marché à terme afin de savoir quelle échéance pourrait correspondre à son prix objectif.  Le prix à terme sur l’échéance août 2009, est de 290€/t (Fob Moselle). En tenant compte du coût de transport (3.17 €/t), et la marge de l’Organisme stockeur  d’autre part (11.83 €/t), l’agriculteur peut calculer un prix Départ ferme qui sera son prix objectif (290 – 3.17 – 11.83 = 275). Dès lors, deux possibilités s’offrent au producteur :</w:t>
      </w:r>
    </w:p>
    <w:p w:rsidR="00B15731" w:rsidRPr="008A0CF6" w:rsidRDefault="00B15731" w:rsidP="00B15731">
      <w:pPr>
        <w:jc w:val="both"/>
        <w:rPr>
          <w:rFonts w:ascii="Times New Roman" w:hAnsi="Times New Roman" w:cs="Times New Roman"/>
          <w:sz w:val="24"/>
          <w:szCs w:val="24"/>
        </w:rPr>
      </w:pPr>
      <w:r w:rsidRPr="008A0CF6">
        <w:rPr>
          <w:rFonts w:ascii="Times New Roman" w:hAnsi="Times New Roman" w:cs="Times New Roman"/>
          <w:sz w:val="24"/>
          <w:szCs w:val="24"/>
        </w:rPr>
        <w:t xml:space="preserve">      - Soit le producteur estime que ce prix actuel se situe à un niveau élevé, par conséquent, son risque est de voir baisser les cours, auquel cas, il va se couvrir sur le marché à terme .</w:t>
      </w:r>
    </w:p>
    <w:p w:rsidR="00B15731" w:rsidRPr="008A0CF6" w:rsidRDefault="00B15731" w:rsidP="00B15731">
      <w:pPr>
        <w:jc w:val="both"/>
        <w:rPr>
          <w:rFonts w:ascii="Times New Roman" w:hAnsi="Times New Roman" w:cs="Times New Roman"/>
          <w:sz w:val="24"/>
          <w:szCs w:val="24"/>
        </w:rPr>
      </w:pPr>
      <w:r w:rsidRPr="008A0CF6">
        <w:rPr>
          <w:rFonts w:ascii="Times New Roman" w:hAnsi="Times New Roman" w:cs="Times New Roman"/>
          <w:sz w:val="24"/>
          <w:szCs w:val="24"/>
        </w:rPr>
        <w:t xml:space="preserve">      - Soit il estime que le prix ne peut que monter ou rester à ce niveau, auquel cas, son risque est nul. Il adopte alors un comportement spéculatif et n’intervient pas sur le marché à terme.</w:t>
      </w:r>
    </w:p>
    <w:p w:rsidR="00B15731" w:rsidRPr="00B15731" w:rsidRDefault="00B15731" w:rsidP="00B15731">
      <w:pPr>
        <w:jc w:val="both"/>
        <w:rPr>
          <w:rFonts w:ascii="Times New Roman" w:hAnsi="Times New Roman" w:cs="Times New Roman"/>
          <w:b/>
          <w:bCs/>
          <w:sz w:val="24"/>
          <w:szCs w:val="24"/>
        </w:rPr>
      </w:pPr>
      <w:r w:rsidRPr="008A0CF6">
        <w:rPr>
          <w:rFonts w:ascii="Times New Roman" w:hAnsi="Times New Roman" w:cs="Times New Roman"/>
          <w:sz w:val="24"/>
          <w:szCs w:val="24"/>
        </w:rPr>
        <w:t xml:space="preserve">       Afin de bénéficier du niveau de prix actuel pour août 2009, le producteur vend à terme un nombre de contrats équivalent à la quantité qu’il pense récolter. En Juillet 2009, le producteur récoltera son colza et le livrera à son organisme stockeur. Au même moment, il achètera sur l’échéance Août 2009, le même nombre de contrats qu’il a vendus précédemment afin de le libérer de son engagement (on dit qu’il </w:t>
      </w:r>
      <w:r w:rsidRPr="008A0CF6">
        <w:rPr>
          <w:rFonts w:ascii="Times New Roman" w:hAnsi="Times New Roman" w:cs="Times New Roman"/>
          <w:b/>
          <w:bCs/>
          <w:sz w:val="24"/>
          <w:szCs w:val="24"/>
        </w:rPr>
        <w:t>déboucle sa position)</w:t>
      </w:r>
      <w:r>
        <w:rPr>
          <w:rFonts w:ascii="Times New Roman" w:hAnsi="Times New Roman" w:cs="Times New Roman"/>
          <w:b/>
          <w:bCs/>
          <w:sz w:val="24"/>
          <w:szCs w:val="24"/>
        </w:rPr>
        <w:t>.</w:t>
      </w:r>
    </w:p>
    <w:p w:rsidR="00B15731" w:rsidRPr="008A0CF6" w:rsidRDefault="00B15731" w:rsidP="00B15731">
      <w:pPr>
        <w:jc w:val="center"/>
        <w:rPr>
          <w:rFonts w:ascii="Times New Roman" w:hAnsi="Times New Roman" w:cs="Times New Roman"/>
          <w:sz w:val="24"/>
          <w:szCs w:val="24"/>
        </w:rPr>
      </w:pPr>
      <w:r w:rsidRPr="008A0CF6">
        <w:rPr>
          <w:rFonts w:ascii="Times New Roman" w:hAnsi="Times New Roman" w:cs="Times New Roman"/>
          <w:sz w:val="24"/>
          <w:szCs w:val="24"/>
          <w:u w:val="single"/>
        </w:rPr>
        <w:t>BILAN DES OPERATIONS</w:t>
      </w:r>
    </w:p>
    <w:p w:rsidR="00B15731" w:rsidRPr="008A0CF6" w:rsidRDefault="00B15731" w:rsidP="00B15731">
      <w:pPr>
        <w:jc w:val="both"/>
        <w:rPr>
          <w:rFonts w:ascii="Times New Roman" w:hAnsi="Times New Roman" w:cs="Times New Roman"/>
          <w:sz w:val="24"/>
          <w:szCs w:val="24"/>
        </w:rPr>
      </w:pPr>
      <w:r w:rsidRPr="008A0CF6">
        <w:rPr>
          <w:rFonts w:ascii="Times New Roman" w:hAnsi="Times New Roman" w:cs="Times New Roman"/>
          <w:i/>
          <w:iCs/>
          <w:sz w:val="24"/>
          <w:szCs w:val="24"/>
        </w:rPr>
        <w:t xml:space="preserve">- Dans le cas d’une baisse des cours (bonne anticipation du producteur) : </w:t>
      </w:r>
      <w:r w:rsidRPr="006433F9">
        <w:rPr>
          <w:rFonts w:ascii="Times New Roman" w:hAnsi="Times New Roman" w:cs="Times New Roman"/>
          <w:b/>
          <w:i/>
          <w:iCs/>
          <w:sz w:val="24"/>
          <w:szCs w:val="24"/>
        </w:rPr>
        <w:t>- 25 €</w:t>
      </w:r>
      <w:r w:rsidRPr="008A0CF6">
        <w:rPr>
          <w:rFonts w:ascii="Times New Roman" w:hAnsi="Times New Roman" w:cs="Times New Roman"/>
          <w:sz w:val="24"/>
          <w:szCs w:val="24"/>
        </w:rPr>
        <w:t xml:space="preserve"> </w:t>
      </w:r>
    </w:p>
    <w:tbl>
      <w:tblPr>
        <w:tblW w:w="9358" w:type="dxa"/>
        <w:tblCellMar>
          <w:left w:w="0" w:type="dxa"/>
          <w:right w:w="0" w:type="dxa"/>
        </w:tblCellMar>
        <w:tblLook w:val="04A0"/>
      </w:tblPr>
      <w:tblGrid>
        <w:gridCol w:w="1987"/>
        <w:gridCol w:w="4111"/>
        <w:gridCol w:w="3260"/>
      </w:tblGrid>
      <w:tr w:rsidR="00B15731" w:rsidRPr="008A0CF6" w:rsidTr="0002631E">
        <w:trPr>
          <w:trHeight w:val="385"/>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jc w:val="both"/>
              <w:rPr>
                <w:rFonts w:ascii="Times New Roman" w:hAnsi="Times New Roman" w:cs="Times New Roman"/>
                <w:sz w:val="24"/>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jc w:val="both"/>
              <w:rPr>
                <w:rFonts w:ascii="Times New Roman" w:hAnsi="Times New Roman" w:cs="Times New Roman"/>
                <w:sz w:val="24"/>
                <w:szCs w:val="24"/>
              </w:rPr>
            </w:pPr>
            <w:r w:rsidRPr="008A0CF6">
              <w:rPr>
                <w:rFonts w:ascii="Times New Roman" w:hAnsi="Times New Roman" w:cs="Times New Roman"/>
                <w:sz w:val="24"/>
                <w:szCs w:val="24"/>
                <w:lang w:val="en-US"/>
              </w:rPr>
              <w:t xml:space="preserve">Marché physique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jc w:val="both"/>
              <w:rPr>
                <w:rFonts w:ascii="Times New Roman" w:hAnsi="Times New Roman" w:cs="Times New Roman"/>
                <w:sz w:val="24"/>
                <w:szCs w:val="24"/>
              </w:rPr>
            </w:pPr>
            <w:r w:rsidRPr="008A0CF6">
              <w:rPr>
                <w:rFonts w:ascii="Times New Roman" w:hAnsi="Times New Roman" w:cs="Times New Roman"/>
                <w:sz w:val="24"/>
                <w:szCs w:val="24"/>
                <w:lang w:val="en-US"/>
              </w:rPr>
              <w:t xml:space="preserve">Marché à terme </w:t>
            </w:r>
          </w:p>
        </w:tc>
      </w:tr>
      <w:tr w:rsidR="00B15731" w:rsidRPr="008A0CF6" w:rsidTr="0002631E">
        <w:trPr>
          <w:trHeight w:val="1172"/>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lang w:val="en-US"/>
              </w:rPr>
              <w:t>Septembre 2008</w:t>
            </w:r>
          </w:p>
          <w:p w:rsidR="00B15731" w:rsidRDefault="00B15731" w:rsidP="0002631E">
            <w:pPr>
              <w:pStyle w:val="Sansinterligne"/>
              <w:rPr>
                <w:rFonts w:ascii="Times New Roman" w:hAnsi="Times New Roman" w:cs="Times New Roman"/>
                <w:sz w:val="24"/>
                <w:szCs w:val="24"/>
                <w:lang w:val="en-US"/>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lang w:val="en-US"/>
              </w:rPr>
              <w:t>Juillet 2009</w:t>
            </w:r>
          </w:p>
          <w:p w:rsidR="00B15731" w:rsidRDefault="00B15731" w:rsidP="0002631E">
            <w:pPr>
              <w:pStyle w:val="Sansinterligne"/>
              <w:rPr>
                <w:rFonts w:ascii="Times New Roman" w:hAnsi="Times New Roman" w:cs="Times New Roman"/>
                <w:sz w:val="24"/>
                <w:szCs w:val="24"/>
                <w:lang w:val="en-US"/>
              </w:rPr>
            </w:pPr>
          </w:p>
          <w:p w:rsidR="00B15731" w:rsidRDefault="00B15731" w:rsidP="0002631E">
            <w:pPr>
              <w:pStyle w:val="Sansinterligne"/>
              <w:rPr>
                <w:rFonts w:ascii="Times New Roman" w:hAnsi="Times New Roman" w:cs="Times New Roman"/>
                <w:sz w:val="24"/>
                <w:szCs w:val="24"/>
                <w:lang w:val="en-US"/>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lang w:val="en-US"/>
              </w:rPr>
              <w:t xml:space="preserve">Août  2009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Semi de colza au prix objectif : 275 €/t</w:t>
            </w:r>
          </w:p>
          <w:p w:rsidR="00B15731" w:rsidRDefault="00B15731" w:rsidP="0002631E">
            <w:pPr>
              <w:pStyle w:val="Sansinterligne"/>
              <w:rPr>
                <w:rFonts w:ascii="Times New Roman" w:hAnsi="Times New Roman" w:cs="Times New Roman"/>
                <w:sz w:val="24"/>
                <w:szCs w:val="24"/>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Récolte du colza et stockage chez un organisme de stockage</w:t>
            </w:r>
          </w:p>
          <w:p w:rsidR="00B15731" w:rsidRDefault="00B15731" w:rsidP="0002631E">
            <w:pPr>
              <w:pStyle w:val="Sansinterligne"/>
              <w:rPr>
                <w:rFonts w:ascii="Times New Roman" w:hAnsi="Times New Roman" w:cs="Times New Roman"/>
                <w:sz w:val="24"/>
                <w:szCs w:val="24"/>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 xml:space="preserve">Vente à l’OS local de 400 t à  250 €/t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Vente de 8 contrats à 290 €/t</w:t>
            </w:r>
          </w:p>
          <w:p w:rsidR="00B15731" w:rsidRPr="00CD2806" w:rsidRDefault="00B15731" w:rsidP="0002631E">
            <w:pPr>
              <w:pStyle w:val="Sansinterligne"/>
              <w:rPr>
                <w:rFonts w:ascii="Times New Roman" w:hAnsi="Times New Roman" w:cs="Times New Roman"/>
                <w:sz w:val="24"/>
                <w:szCs w:val="24"/>
              </w:rPr>
            </w:pPr>
          </w:p>
          <w:p w:rsidR="00B15731" w:rsidRPr="00CD2806" w:rsidRDefault="00B15731" w:rsidP="0002631E">
            <w:pPr>
              <w:pStyle w:val="Sansinterligne"/>
              <w:rPr>
                <w:rFonts w:ascii="Times New Roman" w:hAnsi="Times New Roman" w:cs="Times New Roman"/>
                <w:sz w:val="24"/>
                <w:szCs w:val="24"/>
              </w:rPr>
            </w:pPr>
          </w:p>
          <w:p w:rsidR="00B15731" w:rsidRDefault="00B15731" w:rsidP="0002631E">
            <w:pPr>
              <w:pStyle w:val="Sansinterligne"/>
              <w:rPr>
                <w:rFonts w:ascii="Times New Roman" w:hAnsi="Times New Roman" w:cs="Times New Roman"/>
                <w:sz w:val="24"/>
                <w:szCs w:val="24"/>
              </w:rPr>
            </w:pPr>
          </w:p>
          <w:p w:rsidR="00B15731" w:rsidRDefault="00B15731" w:rsidP="0002631E">
            <w:pPr>
              <w:pStyle w:val="Sansinterligne"/>
              <w:rPr>
                <w:rFonts w:ascii="Times New Roman" w:hAnsi="Times New Roman" w:cs="Times New Roman"/>
                <w:sz w:val="24"/>
                <w:szCs w:val="24"/>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 xml:space="preserve">Achats de 8 contrats : 265 €/t </w:t>
            </w:r>
          </w:p>
        </w:tc>
      </w:tr>
      <w:tr w:rsidR="00B15731" w:rsidRPr="008A0CF6" w:rsidTr="0002631E">
        <w:trPr>
          <w:trHeight w:val="575"/>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jc w:val="both"/>
              <w:rPr>
                <w:rFonts w:ascii="Times New Roman" w:hAnsi="Times New Roman" w:cs="Times New Roman"/>
                <w:sz w:val="24"/>
                <w:szCs w:val="24"/>
              </w:rPr>
            </w:pPr>
            <w:r w:rsidRPr="008A0CF6">
              <w:rPr>
                <w:rFonts w:ascii="Times New Roman" w:hAnsi="Times New Roman" w:cs="Times New Roman"/>
                <w:sz w:val="24"/>
                <w:szCs w:val="24"/>
                <w:lang w:val="en-US"/>
              </w:rPr>
              <w:t xml:space="preserve">Bilan </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jc w:val="both"/>
              <w:rPr>
                <w:rFonts w:ascii="Times New Roman" w:hAnsi="Times New Roman" w:cs="Times New Roman"/>
                <w:sz w:val="24"/>
                <w:szCs w:val="24"/>
              </w:rPr>
            </w:pPr>
            <w:r w:rsidRPr="008A0CF6">
              <w:rPr>
                <w:rFonts w:ascii="Times New Roman" w:hAnsi="Times New Roman" w:cs="Times New Roman"/>
                <w:sz w:val="24"/>
                <w:szCs w:val="24"/>
                <w:lang w:val="en-US"/>
              </w:rPr>
              <w:t xml:space="preserve">400 t x 250 = 100 000 €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jc w:val="both"/>
              <w:rPr>
                <w:rFonts w:ascii="Times New Roman" w:hAnsi="Times New Roman" w:cs="Times New Roman"/>
                <w:sz w:val="24"/>
                <w:szCs w:val="24"/>
              </w:rPr>
            </w:pPr>
            <w:r w:rsidRPr="008A0CF6">
              <w:rPr>
                <w:rFonts w:ascii="Times New Roman" w:hAnsi="Times New Roman" w:cs="Times New Roman"/>
                <w:sz w:val="24"/>
                <w:szCs w:val="24"/>
                <w:lang w:val="en-US"/>
              </w:rPr>
              <w:t>400 t x (290 – 265) = 10 000€</w:t>
            </w:r>
          </w:p>
        </w:tc>
      </w:tr>
      <w:tr w:rsidR="00B15731" w:rsidRPr="008A0CF6" w:rsidTr="0002631E">
        <w:trPr>
          <w:trHeight w:val="891"/>
        </w:trPr>
        <w:tc>
          <w:tcPr>
            <w:tcW w:w="935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jc w:val="both"/>
              <w:rPr>
                <w:rFonts w:ascii="Times New Roman" w:hAnsi="Times New Roman" w:cs="Times New Roman"/>
                <w:sz w:val="24"/>
                <w:szCs w:val="24"/>
              </w:rPr>
            </w:pPr>
            <w:r w:rsidRPr="008A0CF6">
              <w:rPr>
                <w:rFonts w:ascii="Times New Roman" w:hAnsi="Times New Roman" w:cs="Times New Roman"/>
                <w:sz w:val="24"/>
                <w:szCs w:val="24"/>
              </w:rPr>
              <w:t xml:space="preserve">         soit 100 000 + 10 000 = 110 000 : 400 t = 275 €/t </w:t>
            </w:r>
          </w:p>
          <w:p w:rsidR="00B15731" w:rsidRPr="008A0CF6" w:rsidRDefault="00B15731" w:rsidP="0002631E">
            <w:pPr>
              <w:jc w:val="both"/>
              <w:rPr>
                <w:rFonts w:ascii="Times New Roman" w:hAnsi="Times New Roman" w:cs="Times New Roman"/>
                <w:sz w:val="24"/>
                <w:szCs w:val="24"/>
              </w:rPr>
            </w:pPr>
            <w:r w:rsidRPr="008A0CF6">
              <w:rPr>
                <w:rFonts w:ascii="Times New Roman" w:hAnsi="Times New Roman" w:cs="Times New Roman"/>
                <w:sz w:val="24"/>
                <w:szCs w:val="24"/>
              </w:rPr>
              <w:t xml:space="preserve">C’est à dire le prix objectif </w:t>
            </w:r>
          </w:p>
        </w:tc>
      </w:tr>
    </w:tbl>
    <w:p w:rsidR="00B15731" w:rsidRPr="006433F9" w:rsidRDefault="00B15731" w:rsidP="00B15731">
      <w:pPr>
        <w:rPr>
          <w:rFonts w:ascii="Times New Roman" w:hAnsi="Times New Roman" w:cs="Times New Roman"/>
          <w:b/>
          <w:sz w:val="24"/>
          <w:szCs w:val="24"/>
        </w:rPr>
      </w:pPr>
      <w:r w:rsidRPr="008A0CF6">
        <w:rPr>
          <w:rFonts w:ascii="Times New Roman" w:hAnsi="Times New Roman" w:cs="Times New Roman"/>
          <w:i/>
          <w:iCs/>
          <w:sz w:val="24"/>
          <w:szCs w:val="24"/>
        </w:rPr>
        <w:lastRenderedPageBreak/>
        <w:t xml:space="preserve">Dans le cas d’une hausse des cours (mauvaise anticipation du producteur) : </w:t>
      </w:r>
      <w:r w:rsidRPr="006433F9">
        <w:rPr>
          <w:rFonts w:ascii="Times New Roman" w:hAnsi="Times New Roman" w:cs="Times New Roman"/>
          <w:b/>
          <w:i/>
          <w:iCs/>
          <w:sz w:val="24"/>
          <w:szCs w:val="24"/>
        </w:rPr>
        <w:t>+ 25 €</w:t>
      </w:r>
    </w:p>
    <w:tbl>
      <w:tblPr>
        <w:tblW w:w="9358" w:type="dxa"/>
        <w:tblCellMar>
          <w:left w:w="0" w:type="dxa"/>
          <w:right w:w="0" w:type="dxa"/>
        </w:tblCellMar>
        <w:tblLook w:val="04A0"/>
      </w:tblPr>
      <w:tblGrid>
        <w:gridCol w:w="1987"/>
        <w:gridCol w:w="4394"/>
        <w:gridCol w:w="2977"/>
      </w:tblGrid>
      <w:tr w:rsidR="00B15731" w:rsidRPr="008A0CF6" w:rsidTr="0002631E">
        <w:trPr>
          <w:trHeight w:val="1165"/>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rPr>
                <w:rFonts w:ascii="Times New Roman"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rPr>
                <w:rFonts w:ascii="Times New Roman" w:hAnsi="Times New Roman" w:cs="Times New Roman"/>
                <w:sz w:val="24"/>
                <w:szCs w:val="24"/>
              </w:rPr>
            </w:pPr>
            <w:r w:rsidRPr="008A0CF6">
              <w:rPr>
                <w:rFonts w:ascii="Times New Roman" w:hAnsi="Times New Roman" w:cs="Times New Roman"/>
                <w:sz w:val="24"/>
                <w:szCs w:val="24"/>
                <w:lang w:val="en-US"/>
              </w:rPr>
              <w:t xml:space="preserve">Marché physique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rPr>
                <w:rFonts w:ascii="Times New Roman" w:hAnsi="Times New Roman" w:cs="Times New Roman"/>
                <w:sz w:val="24"/>
                <w:szCs w:val="24"/>
              </w:rPr>
            </w:pPr>
            <w:r w:rsidRPr="008A0CF6">
              <w:rPr>
                <w:rFonts w:ascii="Times New Roman" w:hAnsi="Times New Roman" w:cs="Times New Roman"/>
                <w:sz w:val="24"/>
                <w:szCs w:val="24"/>
                <w:lang w:val="en-US"/>
              </w:rPr>
              <w:t xml:space="preserve">Marché à terme </w:t>
            </w:r>
          </w:p>
        </w:tc>
      </w:tr>
      <w:tr w:rsidR="00B15731" w:rsidRPr="008A0CF6" w:rsidTr="0002631E">
        <w:trPr>
          <w:trHeight w:val="625"/>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lang w:val="en-US"/>
              </w:rPr>
              <w:t>Septembre 2008</w:t>
            </w:r>
          </w:p>
          <w:p w:rsidR="00B15731" w:rsidRPr="00CD2806" w:rsidRDefault="00B15731" w:rsidP="0002631E">
            <w:pPr>
              <w:pStyle w:val="Sansinterligne"/>
              <w:rPr>
                <w:rFonts w:ascii="Times New Roman" w:hAnsi="Times New Roman" w:cs="Times New Roman"/>
                <w:sz w:val="24"/>
                <w:szCs w:val="24"/>
                <w:lang w:val="en-US"/>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lang w:val="en-US"/>
              </w:rPr>
              <w:t>Juillet 2009</w:t>
            </w:r>
          </w:p>
          <w:p w:rsidR="00B15731" w:rsidRDefault="00B15731" w:rsidP="0002631E">
            <w:pPr>
              <w:pStyle w:val="Sansinterligne"/>
              <w:rPr>
                <w:rFonts w:ascii="Times New Roman" w:hAnsi="Times New Roman" w:cs="Times New Roman"/>
                <w:sz w:val="24"/>
                <w:szCs w:val="24"/>
                <w:lang w:val="en-US"/>
              </w:rPr>
            </w:pPr>
          </w:p>
          <w:p w:rsidR="00B15731" w:rsidRDefault="00B15731" w:rsidP="0002631E">
            <w:pPr>
              <w:pStyle w:val="Sansinterligne"/>
              <w:rPr>
                <w:rFonts w:ascii="Times New Roman" w:hAnsi="Times New Roman" w:cs="Times New Roman"/>
                <w:sz w:val="24"/>
                <w:szCs w:val="24"/>
                <w:lang w:val="en-US"/>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lang w:val="en-US"/>
              </w:rPr>
              <w:t xml:space="preserve">Août 2009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 xml:space="preserve">Semi de colza </w:t>
            </w:r>
            <w:r>
              <w:rPr>
                <w:rFonts w:ascii="Times New Roman" w:hAnsi="Times New Roman" w:cs="Times New Roman"/>
                <w:sz w:val="24"/>
                <w:szCs w:val="24"/>
              </w:rPr>
              <w:t>au p</w:t>
            </w:r>
            <w:r w:rsidRPr="00CD2806">
              <w:rPr>
                <w:rFonts w:ascii="Times New Roman" w:hAnsi="Times New Roman" w:cs="Times New Roman"/>
                <w:sz w:val="24"/>
                <w:szCs w:val="24"/>
              </w:rPr>
              <w:t xml:space="preserve">rix </w:t>
            </w:r>
            <w:r>
              <w:rPr>
                <w:rFonts w:ascii="Times New Roman" w:hAnsi="Times New Roman" w:cs="Times New Roman"/>
                <w:sz w:val="24"/>
                <w:szCs w:val="24"/>
              </w:rPr>
              <w:t>d’</w:t>
            </w:r>
            <w:r w:rsidRPr="00CD2806">
              <w:rPr>
                <w:rFonts w:ascii="Times New Roman" w:hAnsi="Times New Roman" w:cs="Times New Roman"/>
                <w:sz w:val="24"/>
                <w:szCs w:val="24"/>
              </w:rPr>
              <w:t>objectif : 275 €/t</w:t>
            </w:r>
          </w:p>
          <w:p w:rsidR="00B15731" w:rsidRDefault="00B15731" w:rsidP="0002631E">
            <w:pPr>
              <w:pStyle w:val="Sansinterligne"/>
              <w:rPr>
                <w:rFonts w:ascii="Times New Roman" w:hAnsi="Times New Roman" w:cs="Times New Roman"/>
                <w:sz w:val="24"/>
                <w:szCs w:val="24"/>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 xml:space="preserve">Récolte </w:t>
            </w:r>
            <w:r>
              <w:rPr>
                <w:rFonts w:ascii="Times New Roman" w:hAnsi="Times New Roman" w:cs="Times New Roman"/>
                <w:sz w:val="24"/>
                <w:szCs w:val="24"/>
              </w:rPr>
              <w:t xml:space="preserve">du </w:t>
            </w:r>
            <w:r w:rsidRPr="00CD2806">
              <w:rPr>
                <w:rFonts w:ascii="Times New Roman" w:hAnsi="Times New Roman" w:cs="Times New Roman"/>
                <w:sz w:val="24"/>
                <w:szCs w:val="24"/>
              </w:rPr>
              <w:t>colza et stockage chez un organisme de stockage</w:t>
            </w:r>
          </w:p>
          <w:p w:rsidR="00B15731" w:rsidRDefault="00B15731" w:rsidP="0002631E">
            <w:pPr>
              <w:pStyle w:val="Sansinterligne"/>
              <w:rPr>
                <w:rFonts w:ascii="Times New Roman" w:hAnsi="Times New Roman" w:cs="Times New Roman"/>
                <w:sz w:val="24"/>
                <w:szCs w:val="24"/>
              </w:rPr>
            </w:pPr>
          </w:p>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 xml:space="preserve">Vente de 400 t à l’OS  au prix de 300 €/t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CD2806" w:rsidRDefault="00B15731" w:rsidP="0002631E">
            <w:pPr>
              <w:pStyle w:val="Sansinterligne"/>
              <w:rPr>
                <w:rFonts w:ascii="Times New Roman" w:hAnsi="Times New Roman" w:cs="Times New Roman"/>
                <w:sz w:val="24"/>
                <w:szCs w:val="24"/>
              </w:rPr>
            </w:pPr>
            <w:r w:rsidRPr="00CD2806">
              <w:rPr>
                <w:rFonts w:ascii="Times New Roman" w:hAnsi="Times New Roman" w:cs="Times New Roman"/>
                <w:sz w:val="24"/>
                <w:szCs w:val="24"/>
              </w:rPr>
              <w:t>Vente de 8 contrats à 290 €/t</w:t>
            </w:r>
          </w:p>
          <w:p w:rsidR="00B15731" w:rsidRPr="00CD2806" w:rsidRDefault="00B15731" w:rsidP="0002631E">
            <w:pPr>
              <w:pStyle w:val="Sansinterligne"/>
              <w:rPr>
                <w:rFonts w:ascii="Times New Roman" w:hAnsi="Times New Roman" w:cs="Times New Roman"/>
                <w:sz w:val="24"/>
                <w:szCs w:val="24"/>
              </w:rPr>
            </w:pPr>
          </w:p>
          <w:p w:rsidR="00B15731" w:rsidRDefault="00B15731" w:rsidP="0002631E">
            <w:pPr>
              <w:pStyle w:val="Sansinterligne"/>
              <w:rPr>
                <w:rFonts w:ascii="Times New Roman" w:hAnsi="Times New Roman" w:cs="Times New Roman"/>
                <w:sz w:val="24"/>
                <w:szCs w:val="24"/>
              </w:rPr>
            </w:pPr>
          </w:p>
          <w:p w:rsidR="00B15731" w:rsidRDefault="00B15731" w:rsidP="0002631E">
            <w:pPr>
              <w:pStyle w:val="Sansinterligne"/>
              <w:rPr>
                <w:rFonts w:ascii="Times New Roman" w:hAnsi="Times New Roman" w:cs="Times New Roman"/>
                <w:sz w:val="24"/>
                <w:szCs w:val="24"/>
              </w:rPr>
            </w:pPr>
          </w:p>
          <w:p w:rsidR="00B15731" w:rsidRPr="00CD2806" w:rsidRDefault="00B15731" w:rsidP="0002631E">
            <w:pPr>
              <w:pStyle w:val="Sansinterligne"/>
              <w:rPr>
                <w:rFonts w:ascii="Times New Roman" w:hAnsi="Times New Roman" w:cs="Times New Roman"/>
                <w:sz w:val="24"/>
                <w:szCs w:val="24"/>
              </w:rPr>
            </w:pPr>
            <w:r>
              <w:rPr>
                <w:rFonts w:ascii="Times New Roman" w:hAnsi="Times New Roman" w:cs="Times New Roman"/>
                <w:sz w:val="24"/>
                <w:szCs w:val="24"/>
              </w:rPr>
              <w:t>Achats de 8 contrats </w:t>
            </w:r>
            <w:r w:rsidRPr="00CD2806">
              <w:rPr>
                <w:rFonts w:ascii="Times New Roman" w:hAnsi="Times New Roman" w:cs="Times New Roman"/>
                <w:sz w:val="24"/>
                <w:szCs w:val="24"/>
              </w:rPr>
              <w:t xml:space="preserve">315 €/t </w:t>
            </w:r>
          </w:p>
        </w:tc>
      </w:tr>
      <w:tr w:rsidR="00B15731" w:rsidRPr="008A0CF6" w:rsidTr="0002631E">
        <w:trPr>
          <w:trHeight w:val="575"/>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rPr>
                <w:rFonts w:ascii="Times New Roman" w:hAnsi="Times New Roman" w:cs="Times New Roman"/>
                <w:sz w:val="24"/>
                <w:szCs w:val="24"/>
              </w:rPr>
            </w:pPr>
            <w:r w:rsidRPr="008A0CF6">
              <w:rPr>
                <w:rFonts w:ascii="Times New Roman" w:hAnsi="Times New Roman" w:cs="Times New Roman"/>
                <w:sz w:val="24"/>
                <w:szCs w:val="24"/>
                <w:lang w:val="en-US"/>
              </w:rPr>
              <w:t xml:space="preserve">Solde des opérations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rPr>
                <w:rFonts w:ascii="Times New Roman" w:hAnsi="Times New Roman" w:cs="Times New Roman"/>
                <w:sz w:val="24"/>
                <w:szCs w:val="24"/>
              </w:rPr>
            </w:pPr>
            <w:r w:rsidRPr="008A0CF6">
              <w:rPr>
                <w:rFonts w:ascii="Times New Roman" w:hAnsi="Times New Roman" w:cs="Times New Roman"/>
                <w:sz w:val="24"/>
                <w:szCs w:val="24"/>
                <w:lang w:val="en-US"/>
              </w:rPr>
              <w:t xml:space="preserve">400 t x 300 = 120 000€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rPr>
                <w:rFonts w:ascii="Times New Roman" w:hAnsi="Times New Roman" w:cs="Times New Roman"/>
                <w:sz w:val="24"/>
                <w:szCs w:val="24"/>
              </w:rPr>
            </w:pPr>
            <w:r w:rsidRPr="008A0CF6">
              <w:rPr>
                <w:rFonts w:ascii="Times New Roman" w:hAnsi="Times New Roman" w:cs="Times New Roman"/>
                <w:sz w:val="24"/>
                <w:szCs w:val="24"/>
                <w:lang w:val="en-US"/>
              </w:rPr>
              <w:t xml:space="preserve">400 x (290 – 315) = 10 000€ </w:t>
            </w:r>
          </w:p>
        </w:tc>
      </w:tr>
      <w:tr w:rsidR="00B15731" w:rsidRPr="008A0CF6" w:rsidTr="0002631E">
        <w:trPr>
          <w:trHeight w:val="385"/>
        </w:trPr>
        <w:tc>
          <w:tcPr>
            <w:tcW w:w="935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15731" w:rsidRPr="008A0CF6" w:rsidRDefault="00B15731" w:rsidP="0002631E">
            <w:pPr>
              <w:rPr>
                <w:rFonts w:ascii="Times New Roman" w:hAnsi="Times New Roman" w:cs="Times New Roman"/>
                <w:sz w:val="24"/>
                <w:szCs w:val="24"/>
              </w:rPr>
            </w:pPr>
            <w:r w:rsidRPr="008A0CF6">
              <w:rPr>
                <w:rFonts w:ascii="Times New Roman" w:hAnsi="Times New Roman" w:cs="Times New Roman"/>
                <w:sz w:val="24"/>
                <w:szCs w:val="24"/>
              </w:rPr>
              <w:t xml:space="preserve">Soit 120 000 – 10 000 = 110 000 € : 400 t = 275€ soit le prix objectif </w:t>
            </w:r>
          </w:p>
        </w:tc>
      </w:tr>
    </w:tbl>
    <w:p w:rsidR="00B15731" w:rsidRDefault="00B15731" w:rsidP="00B15731">
      <w:pPr>
        <w:rPr>
          <w:rFonts w:ascii="Times New Roman" w:hAnsi="Times New Roman" w:cs="Times New Roman"/>
          <w:sz w:val="24"/>
          <w:szCs w:val="24"/>
        </w:rPr>
      </w:pPr>
    </w:p>
    <w:p w:rsidR="00B15731" w:rsidRPr="00D64A4C" w:rsidRDefault="00B15731" w:rsidP="00B15731">
      <w:pPr>
        <w:jc w:val="both"/>
        <w:rPr>
          <w:rFonts w:ascii="Times New Roman" w:hAnsi="Times New Roman" w:cs="Times New Roman"/>
          <w:bCs/>
          <w:sz w:val="24"/>
          <w:szCs w:val="24"/>
        </w:rPr>
      </w:pPr>
    </w:p>
    <w:p w:rsidR="00A80056" w:rsidRDefault="00A80056"/>
    <w:sectPr w:rsidR="00A80056" w:rsidSect="00A8005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27D" w:rsidRDefault="0021527D" w:rsidP="002D4DE0">
      <w:pPr>
        <w:spacing w:after="0" w:line="240" w:lineRule="auto"/>
      </w:pPr>
      <w:r>
        <w:separator/>
      </w:r>
    </w:p>
  </w:endnote>
  <w:endnote w:type="continuationSeparator" w:id="1">
    <w:p w:rsidR="0021527D" w:rsidRDefault="0021527D" w:rsidP="002D4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9149"/>
      <w:docPartObj>
        <w:docPartGallery w:val="Page Numbers (Bottom of Page)"/>
        <w:docPartUnique/>
      </w:docPartObj>
    </w:sdtPr>
    <w:sdtContent>
      <w:p w:rsidR="002D4DE0" w:rsidRDefault="005A6AF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2D4DE0" w:rsidRPr="002D4DE0" w:rsidRDefault="005A6AF2">
                    <w:pPr>
                      <w:jc w:val="center"/>
                      <w:rPr>
                        <w:rFonts w:ascii="Times New Roman" w:hAnsi="Times New Roman" w:cs="Times New Roman"/>
                        <w:sz w:val="20"/>
                        <w:szCs w:val="20"/>
                      </w:rPr>
                    </w:pPr>
                    <w:r w:rsidRPr="002D4DE0">
                      <w:rPr>
                        <w:rFonts w:ascii="Times New Roman" w:hAnsi="Times New Roman" w:cs="Times New Roman"/>
                        <w:sz w:val="20"/>
                        <w:szCs w:val="20"/>
                      </w:rPr>
                      <w:fldChar w:fldCharType="begin"/>
                    </w:r>
                    <w:r w:rsidR="002D4DE0" w:rsidRPr="002D4DE0">
                      <w:rPr>
                        <w:rFonts w:ascii="Times New Roman" w:hAnsi="Times New Roman" w:cs="Times New Roman"/>
                        <w:sz w:val="20"/>
                        <w:szCs w:val="20"/>
                      </w:rPr>
                      <w:instrText xml:space="preserve"> PAGE    \* MERGEFORMAT </w:instrText>
                    </w:r>
                    <w:r w:rsidRPr="002D4DE0">
                      <w:rPr>
                        <w:rFonts w:ascii="Times New Roman" w:hAnsi="Times New Roman" w:cs="Times New Roman"/>
                        <w:sz w:val="20"/>
                        <w:szCs w:val="20"/>
                      </w:rPr>
                      <w:fldChar w:fldCharType="separate"/>
                    </w:r>
                    <w:r w:rsidR="00197414">
                      <w:rPr>
                        <w:rFonts w:ascii="Times New Roman" w:hAnsi="Times New Roman" w:cs="Times New Roman"/>
                        <w:noProof/>
                        <w:sz w:val="20"/>
                        <w:szCs w:val="20"/>
                      </w:rPr>
                      <w:t>7</w:t>
                    </w:r>
                    <w:r w:rsidRPr="002D4DE0">
                      <w:rPr>
                        <w:rFonts w:ascii="Times New Roman" w:hAnsi="Times New Roman" w:cs="Times New Roman"/>
                        <w:sz w:val="20"/>
                        <w:szCs w:val="20"/>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27D" w:rsidRDefault="0021527D" w:rsidP="002D4DE0">
      <w:pPr>
        <w:spacing w:after="0" w:line="240" w:lineRule="auto"/>
      </w:pPr>
      <w:r>
        <w:separator/>
      </w:r>
    </w:p>
  </w:footnote>
  <w:footnote w:type="continuationSeparator" w:id="1">
    <w:p w:rsidR="0021527D" w:rsidRDefault="0021527D" w:rsidP="002D4D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C6C"/>
    <w:multiLevelType w:val="hybridMultilevel"/>
    <w:tmpl w:val="1F601C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3F48B9"/>
    <w:multiLevelType w:val="hybridMultilevel"/>
    <w:tmpl w:val="59C67374"/>
    <w:lvl w:ilvl="0" w:tplc="28EC717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EA1EAC"/>
    <w:multiLevelType w:val="hybridMultilevel"/>
    <w:tmpl w:val="B4ACCBA2"/>
    <w:lvl w:ilvl="0" w:tplc="28EC717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6D7FB5"/>
    <w:multiLevelType w:val="hybridMultilevel"/>
    <w:tmpl w:val="507C0B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4A1797"/>
    <w:multiLevelType w:val="hybridMultilevel"/>
    <w:tmpl w:val="7DE2EC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F34FD9"/>
    <w:multiLevelType w:val="hybridMultilevel"/>
    <w:tmpl w:val="20945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8B3B9F"/>
    <w:multiLevelType w:val="hybridMultilevel"/>
    <w:tmpl w:val="0B96E2D6"/>
    <w:lvl w:ilvl="0" w:tplc="28EC717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B15731"/>
    <w:rsid w:val="00197414"/>
    <w:rsid w:val="0021527D"/>
    <w:rsid w:val="002D4DE0"/>
    <w:rsid w:val="00373B52"/>
    <w:rsid w:val="005A6AF2"/>
    <w:rsid w:val="00A80056"/>
    <w:rsid w:val="00B15731"/>
    <w:rsid w:val="00D320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7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5731"/>
    <w:pPr>
      <w:ind w:left="720"/>
      <w:contextualSpacing/>
    </w:pPr>
  </w:style>
  <w:style w:type="table" w:styleId="Grilledutableau">
    <w:name w:val="Table Grid"/>
    <w:basedOn w:val="TableauNormal"/>
    <w:uiPriority w:val="59"/>
    <w:rsid w:val="00B15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B15731"/>
    <w:pPr>
      <w:spacing w:after="0" w:line="240" w:lineRule="auto"/>
    </w:pPr>
  </w:style>
  <w:style w:type="paragraph" w:styleId="Textedebulles">
    <w:name w:val="Balloon Text"/>
    <w:basedOn w:val="Normal"/>
    <w:link w:val="TextedebullesCar"/>
    <w:uiPriority w:val="99"/>
    <w:semiHidden/>
    <w:unhideWhenUsed/>
    <w:rsid w:val="00B157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5731"/>
    <w:rPr>
      <w:rFonts w:ascii="Tahoma" w:hAnsi="Tahoma" w:cs="Tahoma"/>
      <w:sz w:val="16"/>
      <w:szCs w:val="16"/>
    </w:rPr>
  </w:style>
  <w:style w:type="paragraph" w:styleId="En-tte">
    <w:name w:val="header"/>
    <w:basedOn w:val="Normal"/>
    <w:link w:val="En-tteCar"/>
    <w:uiPriority w:val="99"/>
    <w:semiHidden/>
    <w:unhideWhenUsed/>
    <w:rsid w:val="002D4D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D4DE0"/>
  </w:style>
  <w:style w:type="paragraph" w:styleId="Pieddepage">
    <w:name w:val="footer"/>
    <w:basedOn w:val="Normal"/>
    <w:link w:val="PieddepageCar"/>
    <w:uiPriority w:val="99"/>
    <w:semiHidden/>
    <w:unhideWhenUsed/>
    <w:rsid w:val="002D4DE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D4D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2395</Words>
  <Characters>13175</Characters>
  <Application>Microsoft Office Word</Application>
  <DocSecurity>0</DocSecurity>
  <Lines>109</Lines>
  <Paragraphs>31</Paragraphs>
  <ScaleCrop>false</ScaleCrop>
  <Company/>
  <LinksUpToDate>false</LinksUpToDate>
  <CharactersWithSpaces>15539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KHALDI Seddik</dc:creator>
  <cp:lastModifiedBy>KHALDI Seddik</cp:lastModifiedBy>
  <cp:revision>2</cp:revision>
  <dcterms:created xsi:type="dcterms:W3CDTF">2024-12-30T22:16:00Z</dcterms:created>
  <dcterms:modified xsi:type="dcterms:W3CDTF">2024-12-30T22:16:00Z</dcterms:modified>
</cp:coreProperties>
</file>