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2F3" w:rsidRDefault="005852F3" w:rsidP="00077391">
      <w:pPr>
        <w:spacing w:after="0"/>
        <w:jc w:val="center"/>
        <w:rPr>
          <w:rFonts w:asciiTheme="majorBidi" w:hAnsiTheme="majorBidi" w:cstheme="majorBidi"/>
          <w:sz w:val="24"/>
          <w:szCs w:val="24"/>
          <w:rtl/>
        </w:rPr>
      </w:pPr>
      <w:r w:rsidRPr="001030B3">
        <w:rPr>
          <w:rFonts w:asciiTheme="majorBidi" w:hAnsiTheme="majorBidi" w:cstheme="majorBidi"/>
          <w:b/>
          <w:bCs/>
          <w:sz w:val="24"/>
          <w:szCs w:val="24"/>
        </w:rPr>
        <w:t>Cours :</w:t>
      </w:r>
      <w:r w:rsidRPr="001030B3">
        <w:rPr>
          <w:rFonts w:asciiTheme="majorBidi" w:hAnsiTheme="majorBidi" w:cstheme="majorBidi"/>
          <w:sz w:val="24"/>
          <w:szCs w:val="24"/>
        </w:rPr>
        <w:t xml:space="preserve"> </w:t>
      </w:r>
      <w:r w:rsidRPr="005852F3">
        <w:rPr>
          <w:rFonts w:asciiTheme="majorBidi" w:hAnsiTheme="majorBidi" w:cstheme="majorBidi"/>
          <w:sz w:val="24"/>
          <w:szCs w:val="24"/>
        </w:rPr>
        <w:t>Les technologies de l'information et de la communication et leur rôle dans les institutions</w:t>
      </w:r>
    </w:p>
    <w:p w:rsidR="005852F3" w:rsidRPr="00D13B48" w:rsidRDefault="005852F3" w:rsidP="005852F3">
      <w:pPr>
        <w:spacing w:after="0"/>
        <w:rPr>
          <w:rFonts w:asciiTheme="majorBidi" w:hAnsiTheme="majorBidi" w:cstheme="majorBidi"/>
          <w:sz w:val="24"/>
          <w:szCs w:val="24"/>
        </w:rPr>
      </w:pPr>
    </w:p>
    <w:p w:rsidR="005852F3" w:rsidRPr="00D13B48" w:rsidRDefault="005852F3" w:rsidP="005852F3">
      <w:pPr>
        <w:spacing w:after="0" w:line="360" w:lineRule="auto"/>
        <w:jc w:val="both"/>
        <w:rPr>
          <w:rFonts w:asciiTheme="majorBidi" w:hAnsiTheme="majorBidi" w:cstheme="majorBidi"/>
          <w:b/>
          <w:bCs/>
          <w:sz w:val="24"/>
          <w:szCs w:val="24"/>
        </w:rPr>
      </w:pPr>
      <w:r w:rsidRPr="00D13B48">
        <w:rPr>
          <w:rFonts w:asciiTheme="majorBidi" w:hAnsiTheme="majorBidi" w:cstheme="majorBidi"/>
          <w:b/>
          <w:bCs/>
          <w:sz w:val="24"/>
          <w:szCs w:val="24"/>
        </w:rPr>
        <w:t>Introduction :</w:t>
      </w:r>
    </w:p>
    <w:p w:rsidR="005852F3" w:rsidRPr="00D13B48" w:rsidRDefault="005852F3" w:rsidP="005852F3">
      <w:pPr>
        <w:spacing w:after="0" w:line="360" w:lineRule="auto"/>
        <w:jc w:val="both"/>
        <w:rPr>
          <w:rFonts w:asciiTheme="majorBidi" w:hAnsiTheme="majorBidi" w:cstheme="majorBidi"/>
          <w:sz w:val="24"/>
          <w:szCs w:val="24"/>
        </w:rPr>
      </w:pPr>
      <w:r w:rsidRPr="00D13B48">
        <w:rPr>
          <w:rFonts w:asciiTheme="majorBidi" w:hAnsiTheme="majorBidi" w:cstheme="majorBidi"/>
          <w:sz w:val="24"/>
          <w:szCs w:val="24"/>
        </w:rPr>
        <w:t>Une révolution industrielle se définit moins par les nouvelles technologies apparues, que par les changements multiples, et pas seulement économiques, que ces dernières apportent. Ce principe s’applique à nouveau pour la révolution informationnelle et numérique, qui à démarré d’abord au Etats-Unis et dans quelques pays de l’Europe du Nord avant de gagner le reste du monde, et qui est loin d’être achevée. De même que l’énergie (la machine à vapeur puis l’électricité) ont rendu possible l’apparition de l’usine, puis de la firme géante, entraînant la concentration des emplois dans les villes et les banlieues, l’Internet et la révolution numérique déterminent peu à peu la base organisationnelle d’une « nouvelle économie » fondée sur le réseau. Les conséquences de la révolution numérique s’étendent au-delà de l’économie. Parce qu’elle transforme l’un des caractères les plus fondamentaux de l’humanité, à savoir la communication, elle surgit sur tous les domaines de l’activité humaines : bien sûr l’économie et le travail, mais aussi l’éducation, les pratiques culturelles, les relations sociales, la santé…etc. (Curient et all., 2004, pp. 7-9).</w:t>
      </w:r>
    </w:p>
    <w:p w:rsidR="005852F3" w:rsidRPr="005B77D3" w:rsidRDefault="005852F3" w:rsidP="00077391">
      <w:pPr>
        <w:spacing w:after="0" w:line="360" w:lineRule="auto"/>
        <w:jc w:val="both"/>
        <w:rPr>
          <w:rFonts w:asciiTheme="majorBidi" w:hAnsiTheme="majorBidi" w:cstheme="majorBidi"/>
          <w:sz w:val="24"/>
          <w:szCs w:val="24"/>
        </w:rPr>
      </w:pPr>
      <w:r w:rsidRPr="005B77D3">
        <w:rPr>
          <w:rFonts w:asciiTheme="majorBidi" w:hAnsiTheme="majorBidi" w:cstheme="majorBidi"/>
          <w:sz w:val="24"/>
          <w:szCs w:val="24"/>
        </w:rPr>
        <w:t xml:space="preserve">Dans le présent cours, nous aborderons quelques effets de </w:t>
      </w:r>
      <w:r w:rsidR="005B77D3" w:rsidRPr="005B77D3">
        <w:rPr>
          <w:rFonts w:asciiTheme="majorBidi" w:hAnsiTheme="majorBidi" w:cstheme="majorBidi"/>
          <w:sz w:val="24"/>
          <w:szCs w:val="24"/>
        </w:rPr>
        <w:t xml:space="preserve">des technologies de l’information </w:t>
      </w:r>
      <w:r w:rsidR="005F1641">
        <w:rPr>
          <w:rFonts w:asciiTheme="majorBidi" w:hAnsiTheme="majorBidi" w:cstheme="majorBidi"/>
          <w:sz w:val="24"/>
          <w:szCs w:val="24"/>
        </w:rPr>
        <w:t xml:space="preserve">et de la communication </w:t>
      </w:r>
      <w:r w:rsidR="005B77D3" w:rsidRPr="005B77D3">
        <w:rPr>
          <w:rFonts w:asciiTheme="majorBidi" w:hAnsiTheme="majorBidi" w:cstheme="majorBidi"/>
          <w:sz w:val="24"/>
          <w:szCs w:val="24"/>
        </w:rPr>
        <w:t xml:space="preserve">qui constituent un des piliers de </w:t>
      </w:r>
      <w:r w:rsidRPr="005B77D3">
        <w:rPr>
          <w:rFonts w:asciiTheme="majorBidi" w:hAnsiTheme="majorBidi" w:cstheme="majorBidi"/>
          <w:sz w:val="24"/>
          <w:szCs w:val="24"/>
        </w:rPr>
        <w:t xml:space="preserve">la société de l’information, en premier sur </w:t>
      </w:r>
      <w:r w:rsidR="00077391">
        <w:rPr>
          <w:rFonts w:asciiTheme="majorBidi" w:hAnsiTheme="majorBidi" w:cstheme="majorBidi"/>
          <w:sz w:val="24"/>
          <w:szCs w:val="24"/>
        </w:rPr>
        <w:t xml:space="preserve">les institutions </w:t>
      </w:r>
      <w:r w:rsidRPr="005B77D3">
        <w:rPr>
          <w:rFonts w:asciiTheme="majorBidi" w:hAnsiTheme="majorBidi" w:cstheme="majorBidi"/>
          <w:sz w:val="24"/>
          <w:szCs w:val="24"/>
        </w:rPr>
        <w:t>économi</w:t>
      </w:r>
      <w:r w:rsidR="00077391">
        <w:rPr>
          <w:rFonts w:asciiTheme="majorBidi" w:hAnsiTheme="majorBidi" w:cstheme="majorBidi"/>
          <w:sz w:val="24"/>
          <w:szCs w:val="24"/>
        </w:rPr>
        <w:t>ques</w:t>
      </w:r>
      <w:r w:rsidRPr="005B77D3">
        <w:rPr>
          <w:rFonts w:asciiTheme="majorBidi" w:hAnsiTheme="majorBidi" w:cstheme="majorBidi"/>
          <w:sz w:val="24"/>
          <w:szCs w:val="24"/>
        </w:rPr>
        <w:t>, étant donné que cette dernière a été d’abord un projet économique, puis sur la société, à savoir l’éducation, les relations, les inégalités sociales…etc., et enfin, sur l</w:t>
      </w:r>
      <w:r w:rsidR="00077391">
        <w:rPr>
          <w:rFonts w:asciiTheme="majorBidi" w:hAnsiTheme="majorBidi" w:cstheme="majorBidi"/>
          <w:sz w:val="24"/>
          <w:szCs w:val="24"/>
        </w:rPr>
        <w:t>’institution</w:t>
      </w:r>
      <w:r w:rsidRPr="005B77D3">
        <w:rPr>
          <w:rFonts w:asciiTheme="majorBidi" w:hAnsiTheme="majorBidi" w:cstheme="majorBidi"/>
          <w:sz w:val="24"/>
          <w:szCs w:val="24"/>
        </w:rPr>
        <w:t xml:space="preserve"> politique.</w:t>
      </w:r>
    </w:p>
    <w:p w:rsidR="005852F3" w:rsidRPr="00D13B48" w:rsidRDefault="005852F3" w:rsidP="005852F3">
      <w:pPr>
        <w:spacing w:after="0" w:line="360" w:lineRule="auto"/>
        <w:jc w:val="both"/>
        <w:rPr>
          <w:rFonts w:asciiTheme="majorBidi" w:hAnsiTheme="majorBidi" w:cstheme="majorBidi"/>
          <w:b/>
          <w:bCs/>
          <w:sz w:val="24"/>
          <w:szCs w:val="24"/>
        </w:rPr>
      </w:pPr>
      <w:r w:rsidRPr="00D13B48">
        <w:rPr>
          <w:rFonts w:asciiTheme="majorBidi" w:hAnsiTheme="majorBidi" w:cstheme="majorBidi"/>
          <w:b/>
          <w:bCs/>
          <w:sz w:val="24"/>
          <w:szCs w:val="24"/>
        </w:rPr>
        <w:t xml:space="preserve">I. Les </w:t>
      </w:r>
      <w:r w:rsidRPr="005852F3">
        <w:rPr>
          <w:rFonts w:asciiTheme="majorBidi" w:hAnsiTheme="majorBidi" w:cstheme="majorBidi"/>
          <w:b/>
          <w:bCs/>
          <w:sz w:val="24"/>
          <w:szCs w:val="24"/>
        </w:rPr>
        <w:t>technologies de l’information</w:t>
      </w:r>
      <w:r w:rsidR="005F1641">
        <w:rPr>
          <w:rFonts w:asciiTheme="majorBidi" w:hAnsiTheme="majorBidi" w:cstheme="majorBidi"/>
          <w:b/>
          <w:bCs/>
          <w:sz w:val="24"/>
          <w:szCs w:val="24"/>
        </w:rPr>
        <w:t xml:space="preserve"> et de la communication</w:t>
      </w:r>
      <w:r w:rsidRPr="005852F3">
        <w:rPr>
          <w:rFonts w:asciiTheme="majorBidi" w:hAnsiTheme="majorBidi" w:cstheme="majorBidi"/>
          <w:b/>
          <w:bCs/>
          <w:sz w:val="24"/>
          <w:szCs w:val="24"/>
        </w:rPr>
        <w:t xml:space="preserve"> et </w:t>
      </w:r>
      <w:r w:rsidRPr="00D13B48">
        <w:rPr>
          <w:rFonts w:asciiTheme="majorBidi" w:hAnsiTheme="majorBidi" w:cstheme="majorBidi"/>
          <w:b/>
          <w:bCs/>
          <w:sz w:val="24"/>
          <w:szCs w:val="24"/>
        </w:rPr>
        <w:t xml:space="preserve">l’économie : </w:t>
      </w:r>
    </w:p>
    <w:p w:rsidR="005852F3" w:rsidRPr="00D13B48" w:rsidRDefault="005852F3" w:rsidP="005852F3">
      <w:pPr>
        <w:spacing w:after="0" w:line="360" w:lineRule="auto"/>
        <w:jc w:val="both"/>
        <w:rPr>
          <w:rFonts w:asciiTheme="majorBidi" w:hAnsiTheme="majorBidi" w:cstheme="majorBidi"/>
          <w:sz w:val="24"/>
          <w:szCs w:val="24"/>
        </w:rPr>
      </w:pPr>
      <w:r w:rsidRPr="00D13B48">
        <w:rPr>
          <w:rFonts w:asciiTheme="majorBidi" w:hAnsiTheme="majorBidi" w:cstheme="majorBidi"/>
          <w:sz w:val="24"/>
          <w:szCs w:val="24"/>
        </w:rPr>
        <w:t>Si la « nouvelle économie » se résumait au développement du commerce de biens et services sur Internet, il s’agirait là d’un phénomène certes important pour l’avenir, mais dont les conséquences demeureraient assez circonscrites. Les changements organisationnels qu’entraine la diffusion des technologies de l’information se portent en réalité vers tous les secteurs de « l’ancienne économie », et ce sont ces changements qui induisent une nouvelle révolution industrielle (Curient et all., pp. 11).</w:t>
      </w:r>
    </w:p>
    <w:p w:rsidR="005852F3" w:rsidRPr="00D13B48" w:rsidRDefault="005852F3" w:rsidP="005852F3">
      <w:pPr>
        <w:spacing w:after="0" w:line="360" w:lineRule="auto"/>
        <w:jc w:val="both"/>
        <w:rPr>
          <w:rFonts w:asciiTheme="majorBidi" w:hAnsiTheme="majorBidi" w:cstheme="majorBidi"/>
          <w:b/>
          <w:bCs/>
          <w:sz w:val="24"/>
          <w:szCs w:val="24"/>
        </w:rPr>
      </w:pPr>
      <w:r w:rsidRPr="00D13B48">
        <w:rPr>
          <w:rFonts w:asciiTheme="majorBidi" w:hAnsiTheme="majorBidi" w:cstheme="majorBidi"/>
          <w:b/>
          <w:bCs/>
          <w:sz w:val="24"/>
          <w:szCs w:val="24"/>
        </w:rPr>
        <w:t>I. A. Une nouvelle révolution industrielle :</w:t>
      </w:r>
    </w:p>
    <w:p w:rsidR="005852F3" w:rsidRPr="00D13B48" w:rsidRDefault="005852F3" w:rsidP="005852F3">
      <w:pPr>
        <w:spacing w:after="0" w:line="360" w:lineRule="auto"/>
        <w:jc w:val="both"/>
        <w:rPr>
          <w:rFonts w:asciiTheme="majorBidi" w:hAnsiTheme="majorBidi" w:cstheme="majorBidi"/>
          <w:sz w:val="24"/>
          <w:szCs w:val="24"/>
        </w:rPr>
      </w:pPr>
      <w:r w:rsidRPr="00D13B48">
        <w:rPr>
          <w:rFonts w:asciiTheme="majorBidi" w:hAnsiTheme="majorBidi" w:cstheme="majorBidi"/>
          <w:sz w:val="24"/>
          <w:szCs w:val="24"/>
        </w:rPr>
        <w:t xml:space="preserve">L’informatisation et l’Internet ont rendu possible un changement dans l’organisation de l’entreprise, dont les principes sont pourtant bien antérieurs : le « juste temps » et, le « sur mesure », la réduction des échelons hiérarchiques (qui permet de déléguer plus de responsabilités à des nouveaux autrefois encadrés), facteurs souvent désignés sous le vocable </w:t>
      </w:r>
      <w:r w:rsidRPr="00D13B48">
        <w:rPr>
          <w:rFonts w:asciiTheme="majorBidi" w:hAnsiTheme="majorBidi" w:cstheme="majorBidi"/>
          <w:sz w:val="24"/>
          <w:szCs w:val="24"/>
        </w:rPr>
        <w:lastRenderedPageBreak/>
        <w:t>de « toyotisme », ont en effet apparus dès les années  soixante. Mais la diffusion de l’informatique et de l’Internet ont permis de généraliser ces pratiques, en conduisant les entreprises à travailler en réseau et à externaliser massivement une partie de leurs activités auprès de sous-traitant (Curient et all., pp. 11-12).</w:t>
      </w:r>
    </w:p>
    <w:p w:rsidR="005852F3" w:rsidRPr="00D13B48" w:rsidRDefault="005852F3" w:rsidP="005852F3">
      <w:pPr>
        <w:spacing w:after="0" w:line="360" w:lineRule="auto"/>
        <w:jc w:val="both"/>
        <w:rPr>
          <w:rFonts w:asciiTheme="majorBidi" w:hAnsiTheme="majorBidi" w:cstheme="majorBidi"/>
          <w:b/>
          <w:bCs/>
          <w:sz w:val="24"/>
          <w:szCs w:val="24"/>
        </w:rPr>
      </w:pPr>
      <w:r w:rsidRPr="00D13B48">
        <w:rPr>
          <w:rFonts w:asciiTheme="majorBidi" w:hAnsiTheme="majorBidi" w:cstheme="majorBidi"/>
          <w:b/>
          <w:bCs/>
          <w:sz w:val="24"/>
          <w:szCs w:val="24"/>
        </w:rPr>
        <w:t>I. B. Changement dans l’organisation du travail :</w:t>
      </w:r>
    </w:p>
    <w:p w:rsidR="005852F3" w:rsidRPr="00D13B48" w:rsidRDefault="005852F3" w:rsidP="005852F3">
      <w:pPr>
        <w:spacing w:after="0" w:line="360" w:lineRule="auto"/>
        <w:jc w:val="both"/>
        <w:rPr>
          <w:rFonts w:asciiTheme="majorBidi" w:hAnsiTheme="majorBidi" w:cstheme="majorBidi"/>
          <w:sz w:val="24"/>
          <w:szCs w:val="24"/>
        </w:rPr>
      </w:pPr>
      <w:r w:rsidRPr="00D13B48">
        <w:rPr>
          <w:rFonts w:asciiTheme="majorBidi" w:hAnsiTheme="majorBidi" w:cstheme="majorBidi"/>
          <w:sz w:val="24"/>
          <w:szCs w:val="24"/>
        </w:rPr>
        <w:t>À l’ère de l’information, le travail est l’objet de deux transformations majeures : d’une part, le retour vers une plus grande autonomie, après la bureaucratisation de l’ère industrielle ; d’autre part, la réintégration dans la pratique professionnelle d’un savoir et d’une culture acquis dans la sphère de vie quotidienne : alors qu’à l’ère industrielle, les travailleurs des industries taylorisées ne devenaient opérationnels qu’en étant  dépouillés des savoirs, des habiletés et des habitudes développés par la culture du quotidien , les travailleurs de l’ère informationnelle mobilisent un bagage culturel au moins partiellement acquis en dehors de leurs activités de travail.</w:t>
      </w:r>
    </w:p>
    <w:p w:rsidR="005852F3" w:rsidRPr="00D13B48" w:rsidRDefault="005852F3" w:rsidP="005852F3">
      <w:pPr>
        <w:spacing w:after="0" w:line="360" w:lineRule="auto"/>
        <w:jc w:val="both"/>
        <w:rPr>
          <w:rFonts w:asciiTheme="majorBidi" w:hAnsiTheme="majorBidi" w:cstheme="majorBidi"/>
          <w:sz w:val="24"/>
          <w:szCs w:val="24"/>
        </w:rPr>
      </w:pPr>
      <w:r w:rsidRPr="00D13B48">
        <w:rPr>
          <w:rFonts w:asciiTheme="majorBidi" w:hAnsiTheme="majorBidi" w:cstheme="majorBidi"/>
          <w:sz w:val="24"/>
          <w:szCs w:val="24"/>
        </w:rPr>
        <w:t>Analysant les conséquences des TIC sur la flexibilité du travail, Martin Carnoy (2000) souligne le développement du travail indépendant, du temps partiel, de la sous-traitance et des activités de conseil (Curient et all., p. 13).</w:t>
      </w:r>
    </w:p>
    <w:p w:rsidR="005852F3" w:rsidRPr="00D13B48" w:rsidRDefault="005852F3" w:rsidP="005852F3">
      <w:pPr>
        <w:spacing w:after="0" w:line="360" w:lineRule="auto"/>
        <w:jc w:val="both"/>
        <w:rPr>
          <w:rFonts w:asciiTheme="majorBidi" w:hAnsiTheme="majorBidi" w:cstheme="majorBidi"/>
          <w:b/>
          <w:bCs/>
          <w:sz w:val="24"/>
          <w:szCs w:val="24"/>
        </w:rPr>
      </w:pPr>
      <w:r w:rsidRPr="00D13B48">
        <w:rPr>
          <w:rFonts w:asciiTheme="majorBidi" w:hAnsiTheme="majorBidi" w:cstheme="majorBidi"/>
          <w:b/>
          <w:bCs/>
          <w:sz w:val="24"/>
          <w:szCs w:val="24"/>
        </w:rPr>
        <w:t>I. C. L’impact sur la productivité et la croissance :</w:t>
      </w:r>
    </w:p>
    <w:p w:rsidR="005852F3" w:rsidRPr="00D13B48" w:rsidRDefault="005852F3" w:rsidP="005852F3">
      <w:pPr>
        <w:spacing w:after="0" w:line="360" w:lineRule="auto"/>
        <w:jc w:val="both"/>
        <w:rPr>
          <w:rFonts w:asciiTheme="majorBidi" w:hAnsiTheme="majorBidi" w:cstheme="majorBidi"/>
          <w:sz w:val="24"/>
          <w:szCs w:val="24"/>
        </w:rPr>
      </w:pPr>
      <w:r w:rsidRPr="00D13B48">
        <w:rPr>
          <w:rFonts w:asciiTheme="majorBidi" w:hAnsiTheme="majorBidi" w:cstheme="majorBidi"/>
          <w:sz w:val="24"/>
          <w:szCs w:val="24"/>
        </w:rPr>
        <w:t>L’investissement dans les TIC et la réorganisation qu’il induit sont nécessairement séparés par un temps de latence. C’est l’existence de ce délai qui permet de comprendre le paradoxe énoncé par Solow, dans les années 80, pour souligner l’apparente impuissance des investissements informatiques à se traduire en gains de productivité : « On voit des ordinateurs partout, sauf dans les statistiques. ». Les gains de productivité engendrés par une réorganisation du travail s’appuyant sur les nouvelles technologies sont loin d’être immédiats : au début du processus, en effet, l’impact mécanique des dépenses d’investissement informatique sur la productivité globale des facteurs, négatif à court terme, masque l’impact structurel, positif à long terme. Lorsque la réorganisation monte en puissance, les gains de productivité s’accélèrent et ils deviennent visibles (Curient et all., p. 14).</w:t>
      </w:r>
    </w:p>
    <w:p w:rsidR="005852F3" w:rsidRPr="00D13B48" w:rsidRDefault="005852F3" w:rsidP="005852F3">
      <w:pPr>
        <w:spacing w:after="0" w:line="360" w:lineRule="auto"/>
        <w:jc w:val="both"/>
        <w:rPr>
          <w:rFonts w:asciiTheme="majorBidi" w:hAnsiTheme="majorBidi" w:cstheme="majorBidi"/>
          <w:b/>
          <w:bCs/>
          <w:sz w:val="24"/>
          <w:szCs w:val="24"/>
        </w:rPr>
      </w:pPr>
      <w:r w:rsidRPr="00D13B48">
        <w:rPr>
          <w:rFonts w:asciiTheme="majorBidi" w:hAnsiTheme="majorBidi" w:cstheme="majorBidi"/>
          <w:b/>
          <w:bCs/>
          <w:sz w:val="24"/>
          <w:szCs w:val="24"/>
        </w:rPr>
        <w:t>I. D.  Le développement du commerce électronique :</w:t>
      </w:r>
    </w:p>
    <w:p w:rsidR="005852F3" w:rsidRPr="00D13B48" w:rsidRDefault="005852F3" w:rsidP="005852F3">
      <w:pPr>
        <w:spacing w:after="0" w:line="360" w:lineRule="auto"/>
        <w:jc w:val="both"/>
        <w:rPr>
          <w:rFonts w:asciiTheme="majorBidi" w:hAnsiTheme="majorBidi" w:cstheme="majorBidi"/>
          <w:sz w:val="24"/>
          <w:szCs w:val="24"/>
        </w:rPr>
      </w:pPr>
      <w:r w:rsidRPr="00D13B48">
        <w:rPr>
          <w:rFonts w:asciiTheme="majorBidi" w:hAnsiTheme="majorBidi" w:cstheme="majorBidi"/>
          <w:sz w:val="24"/>
          <w:szCs w:val="24"/>
        </w:rPr>
        <w:t xml:space="preserve"> L’Internet étant devenu à la fin des années quatre-vingt-dix un média mondial reliant l’ensemble des agents économiques dans les pays développés, il était dès lors naturel que s’y installent de multiples activités économiques et qu’émerge ainsi le « commerce électronique ».</w:t>
      </w:r>
    </w:p>
    <w:p w:rsidR="005852F3" w:rsidRPr="001E0EC3" w:rsidRDefault="005852F3" w:rsidP="005852F3">
      <w:pPr>
        <w:spacing w:after="0" w:line="360" w:lineRule="auto"/>
        <w:jc w:val="both"/>
        <w:rPr>
          <w:rFonts w:asciiTheme="majorBidi" w:hAnsiTheme="majorBidi" w:cstheme="majorBidi"/>
          <w:sz w:val="24"/>
          <w:szCs w:val="24"/>
        </w:rPr>
      </w:pPr>
      <w:r w:rsidRPr="00D13B48">
        <w:rPr>
          <w:rFonts w:asciiTheme="majorBidi" w:hAnsiTheme="majorBidi" w:cstheme="majorBidi"/>
          <w:sz w:val="24"/>
          <w:szCs w:val="24"/>
        </w:rPr>
        <w:lastRenderedPageBreak/>
        <w:t>En niveau de développement, le commerce électronique n’en est encore qu’au stade embryonnaire : le commerce en ligne entre les entreprises et les consommateurs (B to C) ne représente vers 2004 qu’environ 1 % du commerce total en Europe. L’essentiel des échanges électroniques correspond au commerce interentreprises (B to B), qui représente 75 % des transactions commerciales électroniques, une prépondérance qui s’explique en partie par la préexistence d’échanges entre les entreprises et leurs fournisseurs à travers l’EDI (échange de données informatisées), technologie ayant précédé l’Internet (Curient et all., p. 29).</w:t>
      </w:r>
    </w:p>
    <w:p w:rsidR="005852F3" w:rsidRPr="00D13B48" w:rsidRDefault="005852F3" w:rsidP="005852F3">
      <w:pPr>
        <w:spacing w:after="0" w:line="360" w:lineRule="auto"/>
        <w:jc w:val="both"/>
        <w:rPr>
          <w:rFonts w:asciiTheme="majorBidi" w:hAnsiTheme="majorBidi" w:cstheme="majorBidi"/>
          <w:b/>
          <w:bCs/>
          <w:sz w:val="24"/>
          <w:szCs w:val="24"/>
        </w:rPr>
      </w:pPr>
      <w:r w:rsidRPr="00D13B48">
        <w:rPr>
          <w:rFonts w:asciiTheme="majorBidi" w:hAnsiTheme="majorBidi" w:cstheme="majorBidi"/>
          <w:b/>
          <w:bCs/>
          <w:sz w:val="24"/>
          <w:szCs w:val="24"/>
        </w:rPr>
        <w:t xml:space="preserve">II. Les </w:t>
      </w:r>
      <w:r>
        <w:rPr>
          <w:rFonts w:asciiTheme="majorBidi" w:hAnsiTheme="majorBidi" w:cstheme="majorBidi"/>
          <w:b/>
          <w:bCs/>
          <w:sz w:val="24"/>
          <w:szCs w:val="24"/>
        </w:rPr>
        <w:t>technologies de l’information</w:t>
      </w:r>
      <w:r w:rsidR="005F1641">
        <w:rPr>
          <w:rFonts w:asciiTheme="majorBidi" w:hAnsiTheme="majorBidi" w:cstheme="majorBidi"/>
          <w:b/>
          <w:bCs/>
          <w:sz w:val="24"/>
          <w:szCs w:val="24"/>
        </w:rPr>
        <w:t xml:space="preserve"> et de la communication</w:t>
      </w:r>
      <w:r>
        <w:rPr>
          <w:rFonts w:asciiTheme="majorBidi" w:hAnsiTheme="majorBidi" w:cstheme="majorBidi"/>
          <w:b/>
          <w:bCs/>
          <w:sz w:val="24"/>
          <w:szCs w:val="24"/>
        </w:rPr>
        <w:t xml:space="preserve"> et</w:t>
      </w:r>
      <w:r w:rsidRPr="00D13B48">
        <w:rPr>
          <w:rFonts w:asciiTheme="majorBidi" w:hAnsiTheme="majorBidi" w:cstheme="majorBidi"/>
          <w:b/>
          <w:bCs/>
          <w:sz w:val="24"/>
          <w:szCs w:val="24"/>
        </w:rPr>
        <w:t xml:space="preserve"> la société :</w:t>
      </w:r>
    </w:p>
    <w:p w:rsidR="005852F3" w:rsidRPr="00D13B48" w:rsidRDefault="005852F3" w:rsidP="005852F3">
      <w:pPr>
        <w:spacing w:after="0" w:line="360" w:lineRule="auto"/>
        <w:jc w:val="both"/>
        <w:rPr>
          <w:rFonts w:asciiTheme="majorBidi" w:hAnsiTheme="majorBidi" w:cstheme="majorBidi"/>
          <w:b/>
          <w:bCs/>
          <w:sz w:val="24"/>
          <w:szCs w:val="24"/>
        </w:rPr>
      </w:pPr>
      <w:r w:rsidRPr="00D13B48">
        <w:rPr>
          <w:rFonts w:asciiTheme="majorBidi" w:hAnsiTheme="majorBidi" w:cstheme="majorBidi"/>
          <w:b/>
          <w:bCs/>
          <w:sz w:val="24"/>
          <w:szCs w:val="24"/>
        </w:rPr>
        <w:t>II. A. Les transformations de la société :</w:t>
      </w:r>
    </w:p>
    <w:p w:rsidR="005852F3" w:rsidRPr="00D13B48" w:rsidRDefault="005852F3" w:rsidP="005852F3">
      <w:pPr>
        <w:spacing w:after="0" w:line="360" w:lineRule="auto"/>
        <w:jc w:val="both"/>
        <w:rPr>
          <w:rFonts w:asciiTheme="majorBidi" w:hAnsiTheme="majorBidi" w:cstheme="majorBidi"/>
          <w:sz w:val="24"/>
          <w:szCs w:val="24"/>
        </w:rPr>
      </w:pPr>
      <w:r w:rsidRPr="00D13B48">
        <w:rPr>
          <w:rFonts w:asciiTheme="majorBidi" w:hAnsiTheme="majorBidi" w:cstheme="majorBidi"/>
          <w:sz w:val="24"/>
          <w:szCs w:val="24"/>
        </w:rPr>
        <w:t>Pour Lesourne Jacques, observés avec le recul du temps, les groupes sociaux de la société industrielle apparaissent avec des contours précis : les agriculteurs ; les ouvriers ; les employés ; les commerçants, artisans et petits patrons ; les cadres moyens ; les professions libérales et les dirigeants. La classe des rentiers si souvent présente dans les textes du XIXe siècle a quasiment disparu et, à part une minorité, les capitalistes qui restent ne se distinguent pas toujours des dirigeants.</w:t>
      </w:r>
    </w:p>
    <w:p w:rsidR="005852F3" w:rsidRPr="00D13B48" w:rsidRDefault="005852F3" w:rsidP="005852F3">
      <w:pPr>
        <w:spacing w:after="0" w:line="360" w:lineRule="auto"/>
        <w:jc w:val="both"/>
        <w:rPr>
          <w:rFonts w:asciiTheme="majorBidi" w:hAnsiTheme="majorBidi" w:cstheme="majorBidi"/>
          <w:sz w:val="24"/>
          <w:szCs w:val="24"/>
        </w:rPr>
      </w:pPr>
      <w:r w:rsidRPr="00D13B48">
        <w:rPr>
          <w:rFonts w:asciiTheme="majorBidi" w:hAnsiTheme="majorBidi" w:cstheme="majorBidi"/>
          <w:sz w:val="24"/>
          <w:szCs w:val="24"/>
        </w:rPr>
        <w:t xml:space="preserve">Cette structure a, d'ores et déjà, profondément évolué. Le groupe des agriculteurs continue à décliner, même s'il conserve une influence politique. Une vaste nébuleuse de techniciens se constitue à partir des employés, des ouvriers et des cadres moyens d'hier. En font partie aussi bien la secrétaire de direction que l'ingénieur, l'enseignant que l'officier. Au sein de cette nébuleuse, les modes de vie diffèrent moins par les activités professionnelles que par les caractéristiques individuelles. Vers le bas de la hiérarchie sociale, subsistent certes des employés et des ouvriers, des petits commerçants et artisans au sens traditionnel, mais surtout apparaît un groupe hétérogène de personnes marginalisées par l'évolution du marché mondial du travail : entre les chômeurs, les travailleurs intermittents et les salariés à faible rémunération, les pourcentages varient d'un pays à l'autre, mais on retrouve dans ce groupe tous ceux qui, pour des raisons physiques, psychologiques ou culturelles,... s'intègrent mal dans la société contemporaine. En haut de la pyramide, se situent les élites, ensemble de ceux qui s'extraient de la nébuleuse centrale et qui dirigent les administrations, les partis politiques, les banques et les grandes entreprises. S'y ajoutent les ténors des professions libérales. D'un pays à l'autre, le recrutement de ces élites diffère profondément. Le capitalisme familial a presque disparu ou ne correspond plus à un groupe social identifiable puisque le déclin des vieilles industries a souvent ruiné le patrimoine de ceux qui les possédaient. Enfin, la description ne serait pas complète sans la mention des retraités qui conservent les caractères </w:t>
      </w:r>
      <w:r w:rsidRPr="00D13B48">
        <w:rPr>
          <w:rFonts w:asciiTheme="majorBidi" w:hAnsiTheme="majorBidi" w:cstheme="majorBidi"/>
          <w:sz w:val="24"/>
          <w:szCs w:val="24"/>
        </w:rPr>
        <w:lastRenderedPageBreak/>
        <w:t xml:space="preserve">des groupes sociaux d'hier mais disposent de moyens financiers moins limités et sont plus actifs dans la société que leurs devanciers. Ces évolutions engendrent logiquement une modification de la répartition des pouvoirs économiques et sociaux. Les grandes organisations ouvrières s'affaiblissent et plus généralement les syndicats de masse. Il en est de même de leurs partenaires et opposants traditionnels, les organisations patronales. Dès lors, l'oligopole social ne joue plus le rôle qui a été le sien à l'apogée de la société industrielle. Sa place est pour une part occupée par de petits groupes professionnels, régionaux, idéologiques dont la constitution est facilitée par l'aisance des communications. Quant à la « nébuleuse centrale », elle a deux privilèges : un accès très large à l'information et des compétences individuelles spécifiques. Conséquence : le pouvoir se dilue et la société devient simultanément transparente, complexe et peu lisible. Ceux qui sont aux nœuds de la société d'information deviennent toutefois des acteurs plus importants : les banques qui maîtrisent les flux d'information que sont les mouvements de capitaux, les médias qui collectent et diffusent les informations de masse, les ingénieurs et les chercheurs en électronique, informatique et télécommunications. Faut-il, en particulier, s'attendre dans la société d'information à une toute-puissance des médias ? La réponse est moins simple que la question. S'il s'agit du système médiatique, la réponse est incontestablement oui. Réussir à faire passer aux informations de vingt heures une nouvelle qui ne cadre pas avec les critères de sélection de la télévision est une mission impossible. Si l'on s'intéresse en revanche au pouvoir d'un président de chaîne, d'un rédacteur en chef de radio, d'un directeur de journal, le jugement doit être beaucoup plus nuancé car chacun est enserré dans un réseau de contraintes où interfèrent le marché des téléspectateurs, auditeurs ou lecteurs, la concurrence des autres médias, la lutte pour la publicité, la liberté des journalistes. Toutes les sociétés ont été marquées par des inégalités entre les hommes, mais d'un type de société à l'autre, la forme des inégalités s'est transformée. Au début des années 70, lorsqu'est généralisé en France le salaire mensuel, instauré le SMIC tandis que systèmes de retraites et sécurité sociale s'appliquent pratiquement à tous, l'inégalité perçue comme centrale est celle des revenus (et accessoirement celle des patrimoines). La société d'information ne fait pas disparaître cette forme d'inégalité, mais au contraire, elle l'accroît sur les marges de la nébuleuse centrale. S'y ajoutent désormais les inégalités provenant de l’obsolescence des connaissances acquises et de l'aptitude plus ou moins grande à utiliser l'information pour se former et réagir en cas de chômage. En revanche, il est d'autres inégalités qui s'amoindrissent : la diminution de l'importance de la force physique contribue à réduire les handicaps que connaissent les femmes dans la société </w:t>
      </w:r>
      <w:r w:rsidRPr="00D13B48">
        <w:rPr>
          <w:rFonts w:asciiTheme="majorBidi" w:hAnsiTheme="majorBidi" w:cstheme="majorBidi"/>
          <w:sz w:val="24"/>
          <w:szCs w:val="24"/>
        </w:rPr>
        <w:lastRenderedPageBreak/>
        <w:t xml:space="preserve">industrielle ; la multiplication des réseaux d'information relativise les avantages que certains tiraient de leurs relations sociales. </w:t>
      </w:r>
    </w:p>
    <w:p w:rsidR="005852F3" w:rsidRPr="00D13B48" w:rsidRDefault="005852F3" w:rsidP="005852F3">
      <w:pPr>
        <w:spacing w:after="0" w:line="360" w:lineRule="auto"/>
        <w:jc w:val="both"/>
        <w:rPr>
          <w:rFonts w:asciiTheme="majorBidi" w:hAnsiTheme="majorBidi" w:cstheme="majorBidi"/>
          <w:sz w:val="24"/>
          <w:szCs w:val="24"/>
        </w:rPr>
      </w:pPr>
      <w:r w:rsidRPr="00D13B48">
        <w:rPr>
          <w:rFonts w:asciiTheme="majorBidi" w:hAnsiTheme="majorBidi" w:cstheme="majorBidi"/>
          <w:sz w:val="24"/>
          <w:szCs w:val="24"/>
        </w:rPr>
        <w:t>Toute société a des secrets : secrets financiers dans les affaires, secrets de la vie privée, secrets des relations entre la politique, les entreprises et la presse, secrets de défense nationale. Ces secrets ne sont pas tous liés au caractère industriel de l'époque. A contrario, il est difficile d'imaginer une société d'information sans une très large transparence, qu'il s'agisse des comptes des entreprises, de la vie privée, de la santé individuelle, des résultats des recherches scientifiques. Pour bénéfique qu'elle soit, cette transparence n'est pas sans effets pervers. Les qualités de leader d'un Président des ÉtatsUnis sont jugées à la une de sa fidélité conjugale. La portée des découvertes scientifiques est mal interprétée à cause d'une vulgarisation précoce. Au lieu de se borner aux occupants d'un immeuble, les propos de concierges sont tenus devant l'humanité tout entière.</w:t>
      </w:r>
    </w:p>
    <w:p w:rsidR="005852F3" w:rsidRPr="00D13B48" w:rsidRDefault="005852F3" w:rsidP="005852F3">
      <w:pPr>
        <w:spacing w:after="0" w:line="360" w:lineRule="auto"/>
        <w:jc w:val="both"/>
        <w:rPr>
          <w:rFonts w:asciiTheme="majorBidi" w:hAnsiTheme="majorBidi" w:cstheme="majorBidi"/>
          <w:sz w:val="24"/>
          <w:szCs w:val="24"/>
        </w:rPr>
      </w:pPr>
      <w:r w:rsidRPr="00D13B48">
        <w:rPr>
          <w:rFonts w:asciiTheme="majorBidi" w:hAnsiTheme="majorBidi" w:cstheme="majorBidi"/>
          <w:sz w:val="24"/>
          <w:szCs w:val="24"/>
        </w:rPr>
        <w:t xml:space="preserve">La prédominance de l'image, la multiplicité des langages que chacun doit manier a pour conséquence la généralisation du savoir flou. Ce n'est pas un hasard si l'orthographe s'effondre, tout comme la connaissance des lieux géographiques, des dates historiques et des règles de l'arithmétique. Le savoir limité et précis que donnait jadis le certificat d'études s'est vu substituer un savoir plus ample et plus divers, qui permet une compréhension approximative d'une large gamme d'événements. En face de cet actif, un passif évident : des références incertaines, des règles professionnelles mal assimilées, une tendance générale à sous-estimer le savoir des spécialistes. Ce constat conduit à la désacralisation des experts. La société industrielle est marquée par un grand respect de la connaissance : le savant, l'ingénieur, le médecin, le juriste, le général sont estimés parce qu'ils disposent, dans leur domaine professionnel, de savoir et de savoir-faire. Qu'ils utilisent dans leur métier un langage ésotérique, qu'importe. C'est grâce à ces langages que naît le progrès, l'un des éléments essentiels de la société industrielle. Il n'en est plus de même dans la société d'information car l'abondance des messages tantôt brouille l'information en mettant sur le même plan des données provenant d'émetteurs de qualité différente, tantôt la concentre par effet de contagion autour d'un contenu unique qui n'est pas nécessairement le plus exact. Les technologies de l'information enfin contribuent à renforcer la pratique d'une approche systémique, pratique qui se répand soit par suite des progrès de la science, soit à cause de la poursuite de grands projets techniques. Que l'on pense simplement aux possibilités qu'offrent les simulations sur ordinateurs. Ce rapide survol de quelques-unes des conséquences sociologiques des technologies de l'information laisse dans l'ombre une question importante : </w:t>
      </w:r>
      <w:r w:rsidRPr="00D13B48">
        <w:rPr>
          <w:rFonts w:asciiTheme="majorBidi" w:hAnsiTheme="majorBidi" w:cstheme="majorBidi"/>
          <w:sz w:val="24"/>
          <w:szCs w:val="24"/>
        </w:rPr>
        <w:lastRenderedPageBreak/>
        <w:t>l'omniprésence de l'information favorise-t-elle ou non l'individualisme ? Dans les premiers temps, lorsque dominait encore la société industrielle (avec sa structure sociale caractéristique) les moyens d'information semblent avoir plutôt favorisé l'agrégation des individus à des organisations de masse. Actuellement, l'effet pourrait être inverse : d'une part, la structure sociale favorisée par la société d'information n'est pas un obstacle à l'individualisme ; d'autre part, les réseaux d'information ne se réduisent plus aux réseaux à grande diffusion, chacun ayant une marge de choix à propos des réseaux auxquels il souhaite se connecter. (Lesourne, 1997, pp. 130-133)</w:t>
      </w:r>
    </w:p>
    <w:p w:rsidR="005852F3" w:rsidRPr="00D13B48" w:rsidRDefault="005852F3" w:rsidP="005852F3">
      <w:pPr>
        <w:spacing w:after="0" w:line="360" w:lineRule="auto"/>
        <w:jc w:val="both"/>
        <w:rPr>
          <w:rFonts w:asciiTheme="majorBidi" w:hAnsiTheme="majorBidi" w:cstheme="majorBidi"/>
          <w:b/>
          <w:bCs/>
          <w:sz w:val="24"/>
          <w:szCs w:val="24"/>
        </w:rPr>
      </w:pPr>
      <w:r w:rsidRPr="00D13B48">
        <w:rPr>
          <w:rFonts w:asciiTheme="majorBidi" w:hAnsiTheme="majorBidi" w:cstheme="majorBidi"/>
          <w:b/>
          <w:bCs/>
          <w:sz w:val="24"/>
          <w:szCs w:val="24"/>
        </w:rPr>
        <w:t>II. B. L’impact sur les relations sociales : le retour de la proximité</w:t>
      </w:r>
    </w:p>
    <w:p w:rsidR="005852F3" w:rsidRPr="00D13B48" w:rsidRDefault="005852F3" w:rsidP="005852F3">
      <w:pPr>
        <w:spacing w:after="0" w:line="360" w:lineRule="auto"/>
        <w:jc w:val="both"/>
        <w:rPr>
          <w:rFonts w:asciiTheme="majorBidi" w:hAnsiTheme="majorBidi" w:cstheme="majorBidi"/>
          <w:sz w:val="24"/>
          <w:szCs w:val="24"/>
        </w:rPr>
      </w:pPr>
      <w:r w:rsidRPr="00D13B48">
        <w:rPr>
          <w:rFonts w:asciiTheme="majorBidi" w:hAnsiTheme="majorBidi" w:cstheme="majorBidi"/>
          <w:sz w:val="24"/>
          <w:szCs w:val="24"/>
        </w:rPr>
        <w:t>Une étude réalisée aux États-Unis en 1998 sur l’utilisation d’Internet montrait que, pour un nombre croissant « d’internautes » (15 % d’entre eux avec des pointes à 26 %), le réseau était utilisé comme un média d’informations d’actualités et, pour 42 % de ce type d’utilisateurs, l’information recherchée était de l’information locale. Ce simple constat était d’autant plus intéressant qu’il était en contradiction avec les discours dominants portant sur l’usage des réseaux et particulièrement de l’Internet. Les travaux du sociologue Barry Wellman et de son équipe vont dans ce même sens, celui de la réhabilitation des logiques de proximité dans l’usage d’Internet. Réhabilitation que l’on pourrait assimiler à une autre manifestation du retour de la géographie dont on peut dire qu’elle n’aura guère eu de difficultés à survivre à la mort tant annoncée de la distance. Ainsi dans « Long Distance Community in the Network Society », Keith Hampton et Barry Wellman (2001) racontent comment une recherche qu’ils conduisaient sur un quartier apparemment sans histoire d’une banlieue de Toronto produisit des résultats inattendus. Ce quartier apparaissait comme remarquable car on y observait une densité inhabituelle de communication électronique, de sorte qu’il s’était vu dénommé « Netville ». Les deux chercheurs qui voulaient tester des hypothèses sur le rôle de l’ordinateur dans la communication en vinrent à la conclusion que, contrairement à certaines attentes, l’Internet, et l’ouverture sur le monde qu’il permet, accroît plus qu’il ne réduit les contacts entre des personnes qui connaissent déjà des relations de proximité. Bref, plus l’Internet facilite la mise en place d’un village global et plus le village local s’en trouve renforcée (Curient et all., pp. 273-274).</w:t>
      </w:r>
    </w:p>
    <w:p w:rsidR="005852F3" w:rsidRPr="001E0EC3" w:rsidRDefault="005852F3" w:rsidP="005852F3">
      <w:pPr>
        <w:shd w:val="clear" w:color="auto" w:fill="FFFFFF"/>
        <w:spacing w:after="0" w:line="360" w:lineRule="auto"/>
        <w:jc w:val="both"/>
        <w:outlineLvl w:val="1"/>
        <w:rPr>
          <w:rFonts w:asciiTheme="majorBidi" w:eastAsia="Times New Roman" w:hAnsiTheme="majorBidi" w:cstheme="majorBidi"/>
          <w:b/>
          <w:bCs/>
          <w:sz w:val="24"/>
          <w:szCs w:val="24"/>
          <w:lang w:eastAsia="fr-FR"/>
        </w:rPr>
      </w:pPr>
      <w:r w:rsidRPr="00D13B48">
        <w:rPr>
          <w:rFonts w:asciiTheme="majorBidi" w:eastAsia="Times New Roman" w:hAnsiTheme="majorBidi" w:cstheme="majorBidi"/>
          <w:b/>
          <w:bCs/>
          <w:sz w:val="24"/>
          <w:szCs w:val="24"/>
          <w:lang w:eastAsia="fr-FR"/>
        </w:rPr>
        <w:t>II. C. L’impact sur l’éducation</w:t>
      </w:r>
    </w:p>
    <w:p w:rsidR="005852F3" w:rsidRPr="001E0EC3" w:rsidRDefault="005852F3" w:rsidP="005852F3">
      <w:pPr>
        <w:shd w:val="clear" w:color="auto" w:fill="FFFFFF"/>
        <w:spacing w:after="0" w:line="360" w:lineRule="auto"/>
        <w:jc w:val="both"/>
        <w:rPr>
          <w:rFonts w:asciiTheme="majorBidi" w:eastAsia="Times New Roman" w:hAnsiTheme="majorBidi" w:cstheme="majorBidi"/>
          <w:sz w:val="24"/>
          <w:szCs w:val="24"/>
          <w:lang w:eastAsia="fr-FR"/>
        </w:rPr>
      </w:pPr>
      <w:r w:rsidRPr="00D13B48">
        <w:rPr>
          <w:rFonts w:asciiTheme="majorBidi" w:eastAsia="Times New Roman" w:hAnsiTheme="majorBidi" w:cstheme="majorBidi"/>
          <w:sz w:val="24"/>
          <w:szCs w:val="24"/>
          <w:lang w:eastAsia="fr-FR"/>
        </w:rPr>
        <w:t xml:space="preserve">L’impact des réseaux interactifs multimédia se fera sentir encore plus fortement dans les domaines de l’information, de l’éducation et de la culture. La logique d’accès à l’information avant l’apparition de la société de l’information  est une logique de diffusion. Chaînes de </w:t>
      </w:r>
      <w:r w:rsidRPr="00D13B48">
        <w:rPr>
          <w:rFonts w:asciiTheme="majorBidi" w:eastAsia="Times New Roman" w:hAnsiTheme="majorBidi" w:cstheme="majorBidi"/>
          <w:sz w:val="24"/>
          <w:szCs w:val="24"/>
          <w:lang w:eastAsia="fr-FR"/>
        </w:rPr>
        <w:lastRenderedPageBreak/>
        <w:t>télévision, de radio ou maisons d’édition émettent vers leurs téléspectateurs, auditeurs ou lecteurs de manière unilatérale, du haut de la pyramide vers sa base. La logique émergente résultant de la société de l’information est une logique de navigation. Loin d’être passifs à la base de la pyramide, récepteurs d’informations sans être capables d’échanges et d’interactions, les usagers deviennent actifs puisqu’ils doivent non seulement sélectionner les sources interactives d’informations, mais aussi entrer en contact avec d’autres usagers susceptibles de les aider. </w:t>
      </w:r>
      <w:r w:rsidRPr="00D13B48">
        <w:rPr>
          <w:rFonts w:asciiTheme="majorBidi" w:eastAsia="Times New Roman" w:hAnsiTheme="majorBidi" w:cstheme="majorBidi"/>
          <w:color w:val="548DD4" w:themeColor="text2" w:themeTint="99"/>
          <w:sz w:val="24"/>
          <w:szCs w:val="24"/>
          <w:lang w:eastAsia="fr-FR"/>
        </w:rPr>
        <w:t> </w:t>
      </w:r>
    </w:p>
    <w:p w:rsidR="005852F3" w:rsidRPr="00D13B48" w:rsidRDefault="005852F3" w:rsidP="005852F3">
      <w:pPr>
        <w:shd w:val="clear" w:color="auto" w:fill="FFFFFF"/>
        <w:spacing w:after="0" w:line="360" w:lineRule="auto"/>
        <w:jc w:val="both"/>
        <w:rPr>
          <w:rFonts w:asciiTheme="majorBidi" w:eastAsia="Times New Roman" w:hAnsiTheme="majorBidi" w:cstheme="majorBidi"/>
          <w:sz w:val="24"/>
          <w:szCs w:val="24"/>
          <w:lang w:eastAsia="fr-FR"/>
        </w:rPr>
      </w:pPr>
      <w:r w:rsidRPr="00D13B48">
        <w:rPr>
          <w:rFonts w:asciiTheme="majorBidi" w:eastAsia="Times New Roman" w:hAnsiTheme="majorBidi" w:cstheme="majorBidi"/>
          <w:sz w:val="24"/>
          <w:szCs w:val="24"/>
          <w:lang w:eastAsia="fr-FR"/>
        </w:rPr>
        <w:t>Le navigateur des réseaux doit savoir utiliser les méthodes appropriées et les chemins adaptés pour trouver les informations pertinentes qui donneront du sens à son travail ou du plaisir à ses loisirs. Cette pratique modifie profondément les formes traditionnelles d’éducation. Plutôt que de se rendre en un lieu pour écouter un détenteur unique de savoirs, les élèves peuvent naviguer sur les réseaux à la recherche des informations qui leur permettront de construire leurs savoirs et leurs connaissances. Le risque est de brasser des informations en " surfant " d’un site à l’autre plutôt que d’acquérir des savoirs, d’où l’importance de la classe, de son rôle de socialisation, de coéducation et d’intégration culturelle, et aussi celle du professeur, médiateur et catalyseur d’intelligence plutôt qu’émetteur d’informations unilatérales. Avec la pratique des réseaux, le professeur peut se transformer en </w:t>
      </w:r>
      <w:r w:rsidRPr="00D13B48">
        <w:rPr>
          <w:rFonts w:asciiTheme="majorBidi" w:eastAsia="Times New Roman" w:hAnsiTheme="majorBidi" w:cstheme="majorBidi"/>
          <w:i/>
          <w:iCs/>
          <w:sz w:val="24"/>
          <w:szCs w:val="24"/>
          <w:lang w:eastAsia="fr-FR"/>
        </w:rPr>
        <w:t>passeur</w:t>
      </w:r>
      <w:r w:rsidRPr="00D13B48">
        <w:rPr>
          <w:rFonts w:asciiTheme="majorBidi" w:eastAsia="Times New Roman" w:hAnsiTheme="majorBidi" w:cstheme="majorBidi"/>
          <w:sz w:val="24"/>
          <w:szCs w:val="24"/>
          <w:lang w:eastAsia="fr-FR"/>
        </w:rPr>
        <w:t> plutôt que de se cantonner dans son rôle traditionnel de </w:t>
      </w:r>
      <w:r w:rsidRPr="00D13B48">
        <w:rPr>
          <w:rFonts w:asciiTheme="majorBidi" w:eastAsia="Times New Roman" w:hAnsiTheme="majorBidi" w:cstheme="majorBidi"/>
          <w:i/>
          <w:iCs/>
          <w:sz w:val="24"/>
          <w:szCs w:val="24"/>
          <w:lang w:eastAsia="fr-FR"/>
        </w:rPr>
        <w:t>pasteur</w:t>
      </w:r>
      <w:r w:rsidRPr="00D13B48">
        <w:rPr>
          <w:rFonts w:asciiTheme="majorBidi" w:eastAsia="Times New Roman" w:hAnsiTheme="majorBidi" w:cstheme="majorBidi"/>
          <w:sz w:val="24"/>
          <w:szCs w:val="24"/>
          <w:lang w:eastAsia="fr-FR"/>
        </w:rPr>
        <w:t>. Il aide à faire émerger l’intelligence collective de sa classe, à orienter ses élèves de manière socratique en éclairant les chemins de la connaissance.</w:t>
      </w:r>
    </w:p>
    <w:p w:rsidR="005852F3" w:rsidRPr="00D13B48" w:rsidRDefault="005852F3" w:rsidP="005852F3">
      <w:pPr>
        <w:shd w:val="clear" w:color="auto" w:fill="FFFFFF"/>
        <w:spacing w:after="0" w:line="360" w:lineRule="auto"/>
        <w:jc w:val="both"/>
        <w:rPr>
          <w:rFonts w:asciiTheme="majorBidi" w:eastAsia="Times New Roman" w:hAnsiTheme="majorBidi" w:cstheme="majorBidi"/>
          <w:sz w:val="24"/>
          <w:szCs w:val="24"/>
          <w:lang w:eastAsia="fr-FR"/>
        </w:rPr>
      </w:pPr>
      <w:r w:rsidRPr="00D13B48">
        <w:rPr>
          <w:rFonts w:asciiTheme="majorBidi" w:eastAsia="Times New Roman" w:hAnsiTheme="majorBidi" w:cstheme="majorBidi"/>
          <w:sz w:val="24"/>
          <w:szCs w:val="24"/>
          <w:lang w:eastAsia="fr-FR"/>
        </w:rPr>
        <w:t xml:space="preserve">Les réseaux interactifs de la société de l’information ne sont plus seulement des outils providentiels de diffusion des savoirs, mais des éléments qui viennent s’inscrire au sein d’un projet pédagogique incluant les modes de communication les mieux adaptés. La classe, le professeur et Internet constituent un nouveau système de communication interactif permettant d’intégrer des données dans des informations, des informations dans des savoirs, des savoirs dans des connaissances et des connaissances dans des cultures. Cette intégration progressive est représentative de l’acquisition d’une culture moderne. Elle se distingue de la simple culture des cultivés " qui savent des petits riens sur tout " ou de celle des spécialistes qui " savent tout sur des petits riens ". La société de l’information suscite la réflexion sur un plan ou un projet capable d’inclure les éléments technologiques amplifiant le rôle traditionnel du professeur. L’enjeu majeur reste la construction d’une complémentarité entre le réel et le virtuel. Le réel favorise la convivialité, le lien social, la sensibilité et l’émotion sans lesquels il n’y a pas d’exercice de l’intelligence. Le virtuel facilite l’accès à l’information, l’interactivité et l’intercréativité, la vitesse de remontée des informations ou l’efficacité du temps réel. Les </w:t>
      </w:r>
      <w:r w:rsidRPr="00D13B48">
        <w:rPr>
          <w:rFonts w:asciiTheme="majorBidi" w:eastAsia="Times New Roman" w:hAnsiTheme="majorBidi" w:cstheme="majorBidi"/>
          <w:sz w:val="24"/>
          <w:szCs w:val="24"/>
          <w:lang w:eastAsia="fr-FR"/>
        </w:rPr>
        <w:lastRenderedPageBreak/>
        <w:t>deux doivent aller de pair dans une société de l’information bien équilibrée. (De Montbrial et Jacquet Dir., 1999).</w:t>
      </w:r>
    </w:p>
    <w:p w:rsidR="005852F3" w:rsidRPr="00D13B48" w:rsidRDefault="005852F3" w:rsidP="005852F3">
      <w:pPr>
        <w:spacing w:after="0" w:line="360" w:lineRule="auto"/>
        <w:jc w:val="both"/>
        <w:rPr>
          <w:rFonts w:asciiTheme="majorBidi" w:hAnsiTheme="majorBidi" w:cstheme="majorBidi"/>
          <w:b/>
          <w:bCs/>
          <w:sz w:val="24"/>
          <w:szCs w:val="24"/>
        </w:rPr>
      </w:pPr>
      <w:r w:rsidRPr="00D13B48">
        <w:rPr>
          <w:rFonts w:asciiTheme="majorBidi" w:hAnsiTheme="majorBidi" w:cstheme="majorBidi"/>
          <w:b/>
          <w:bCs/>
          <w:sz w:val="24"/>
          <w:szCs w:val="24"/>
        </w:rPr>
        <w:t xml:space="preserve">II. Les </w:t>
      </w:r>
      <w:r>
        <w:rPr>
          <w:rFonts w:asciiTheme="majorBidi" w:hAnsiTheme="majorBidi" w:cstheme="majorBidi"/>
          <w:b/>
          <w:bCs/>
          <w:sz w:val="24"/>
          <w:szCs w:val="24"/>
        </w:rPr>
        <w:t>technologies de l’information</w:t>
      </w:r>
      <w:r w:rsidR="005F1641">
        <w:rPr>
          <w:rFonts w:asciiTheme="majorBidi" w:hAnsiTheme="majorBidi" w:cstheme="majorBidi"/>
          <w:b/>
          <w:bCs/>
          <w:sz w:val="24"/>
          <w:szCs w:val="24"/>
        </w:rPr>
        <w:t xml:space="preserve"> et de la communication</w:t>
      </w:r>
      <w:r>
        <w:rPr>
          <w:rFonts w:asciiTheme="majorBidi" w:hAnsiTheme="majorBidi" w:cstheme="majorBidi"/>
          <w:b/>
          <w:bCs/>
          <w:sz w:val="24"/>
          <w:szCs w:val="24"/>
        </w:rPr>
        <w:t xml:space="preserve"> et</w:t>
      </w:r>
      <w:r w:rsidRPr="00D13B48">
        <w:rPr>
          <w:rFonts w:asciiTheme="majorBidi" w:hAnsiTheme="majorBidi" w:cstheme="majorBidi"/>
          <w:b/>
          <w:bCs/>
          <w:sz w:val="24"/>
          <w:szCs w:val="24"/>
        </w:rPr>
        <w:t xml:space="preserve"> la santé :</w:t>
      </w:r>
    </w:p>
    <w:p w:rsidR="005852F3" w:rsidRPr="00D13B48" w:rsidRDefault="005852F3" w:rsidP="005852F3">
      <w:pPr>
        <w:spacing w:after="0" w:line="360" w:lineRule="auto"/>
        <w:jc w:val="both"/>
        <w:rPr>
          <w:rFonts w:asciiTheme="majorBidi" w:hAnsiTheme="majorBidi" w:cstheme="majorBidi"/>
          <w:sz w:val="24"/>
          <w:szCs w:val="24"/>
        </w:rPr>
      </w:pPr>
      <w:r w:rsidRPr="00D13B48">
        <w:rPr>
          <w:rFonts w:asciiTheme="majorBidi" w:hAnsiTheme="majorBidi" w:cstheme="majorBidi"/>
          <w:sz w:val="24"/>
          <w:szCs w:val="24"/>
        </w:rPr>
        <w:t xml:space="preserve">Le domaine de la santé présente, pour l’Internet et les technologies de l’information et de la communication, un terrain particulièrement favorable : pour le grand public, la santé est un des premiers motifs de consultation de l’Internet, et la possibilité d’accéder en ligne à son propre dossier de santé dans un avenir proche porte en germe une transformation forte des rapports entre médecins et usagers du système de santé ; pour les professionnels, l’accès direct aux dernières avancées de la recherche notamment via Medline, le développement des échanges à l’intérieur de réseaux spécialisés ou généralistes, et les nombreuses initiatives en matière de télémédecine peuvent être des facteurs forts d’évolution des pratiques et d’amélioration de la qualité du système de soins ; pour les pouvoirs publics et les organismes d’assurance maladie, les TIC peuvent fournir des outils pour rationaliser le fonctionnement d’ensemble, simplifier les procédures de remboursement, ou améliorer les outils de gestion du risque ; pour les acteurs économiques enfin, le secteur de la santé est un secteur économique majeur qui a donné lieu à de nombreuses initiatives en matière d’utilisation des TIC. De cette effervescence est sortie une expression, la e-santé, traduction littérale du terme e-health. L’illustre assez bien la définition qu’en proposait Gunther Eysenbach au plus fort de la vague Internet : « La e-santé est un champ émergeant, à l’intersection entre informatique médicale, santé publique et économie, qui concerne les services de santé et l’accès facilité à l’information au travers de l’Internet et des technologies associées. Dans un sens plus large, le terme ne caractérise pas seulement un développement technique, mais aussi un état d’esprit, une façon de penser, une attitude, et une sorte d’obligation pour les personnes travaillant en réseau d’améliorer les soins de santé localement, régionalement ou au niveau mondial, en utilisant les technologies de l’information et de la communication ». </w:t>
      </w:r>
    </w:p>
    <w:p w:rsidR="005852F3" w:rsidRPr="005852F3" w:rsidRDefault="005852F3" w:rsidP="005852F3">
      <w:pPr>
        <w:spacing w:after="0" w:line="360" w:lineRule="auto"/>
        <w:jc w:val="both"/>
        <w:rPr>
          <w:rFonts w:asciiTheme="majorBidi" w:hAnsiTheme="majorBidi" w:cstheme="majorBidi"/>
          <w:sz w:val="24"/>
          <w:szCs w:val="24"/>
        </w:rPr>
      </w:pPr>
      <w:r w:rsidRPr="00D13B48">
        <w:rPr>
          <w:rFonts w:asciiTheme="majorBidi" w:hAnsiTheme="majorBidi" w:cstheme="majorBidi"/>
          <w:sz w:val="24"/>
          <w:szCs w:val="24"/>
        </w:rPr>
        <w:t>La sensibilité des informations de santé, qu’il s’agisse du secret médical ou des risques associés à la diffusion d’informations erronées, oblige à porter une attention particulière aux questions de confidentialité et à la qualification des informations, qui ne sont pas en soi spécifiques mais jouent ici un rôle central</w:t>
      </w:r>
      <w:r w:rsidRPr="00D13B48">
        <w:rPr>
          <w:rFonts w:asciiTheme="majorBidi" w:hAnsiTheme="majorBidi" w:cstheme="majorBidi"/>
          <w:b/>
          <w:bCs/>
          <w:sz w:val="24"/>
          <w:szCs w:val="24"/>
        </w:rPr>
        <w:t xml:space="preserve"> </w:t>
      </w:r>
      <w:r w:rsidRPr="00D13B48">
        <w:rPr>
          <w:rFonts w:asciiTheme="majorBidi" w:hAnsiTheme="majorBidi" w:cstheme="majorBidi"/>
          <w:sz w:val="24"/>
          <w:szCs w:val="24"/>
        </w:rPr>
        <w:t>(Curient et all., pp. 277-279).</w:t>
      </w:r>
    </w:p>
    <w:p w:rsidR="005852F3" w:rsidRPr="00D13B48" w:rsidRDefault="005852F3" w:rsidP="005852F3">
      <w:pPr>
        <w:spacing w:after="0" w:line="360" w:lineRule="auto"/>
        <w:jc w:val="both"/>
        <w:rPr>
          <w:rFonts w:asciiTheme="majorBidi" w:hAnsiTheme="majorBidi" w:cstheme="majorBidi"/>
          <w:b/>
          <w:bCs/>
          <w:sz w:val="24"/>
          <w:szCs w:val="24"/>
        </w:rPr>
      </w:pPr>
      <w:r w:rsidRPr="00D13B48">
        <w:rPr>
          <w:rFonts w:asciiTheme="majorBidi" w:hAnsiTheme="majorBidi" w:cstheme="majorBidi"/>
          <w:b/>
          <w:bCs/>
          <w:sz w:val="24"/>
          <w:szCs w:val="24"/>
        </w:rPr>
        <w:t xml:space="preserve">III. Les </w:t>
      </w:r>
      <w:r>
        <w:rPr>
          <w:rFonts w:asciiTheme="majorBidi" w:hAnsiTheme="majorBidi" w:cstheme="majorBidi"/>
          <w:b/>
          <w:bCs/>
          <w:sz w:val="24"/>
          <w:szCs w:val="24"/>
        </w:rPr>
        <w:t>technologies de l’information</w:t>
      </w:r>
      <w:r w:rsidR="005F1641">
        <w:rPr>
          <w:rFonts w:asciiTheme="majorBidi" w:hAnsiTheme="majorBidi" w:cstheme="majorBidi"/>
          <w:b/>
          <w:bCs/>
          <w:sz w:val="24"/>
          <w:szCs w:val="24"/>
        </w:rPr>
        <w:t xml:space="preserve"> et de la communication</w:t>
      </w:r>
      <w:r>
        <w:rPr>
          <w:rFonts w:asciiTheme="majorBidi" w:hAnsiTheme="majorBidi" w:cstheme="majorBidi"/>
          <w:b/>
          <w:bCs/>
          <w:sz w:val="24"/>
          <w:szCs w:val="24"/>
        </w:rPr>
        <w:t xml:space="preserve"> et </w:t>
      </w:r>
      <w:r w:rsidRPr="00D13B48">
        <w:rPr>
          <w:rFonts w:asciiTheme="majorBidi" w:hAnsiTheme="majorBidi" w:cstheme="majorBidi"/>
          <w:b/>
          <w:bCs/>
          <w:sz w:val="24"/>
          <w:szCs w:val="24"/>
        </w:rPr>
        <w:t>la politique :</w:t>
      </w:r>
    </w:p>
    <w:p w:rsidR="005852F3" w:rsidRPr="00D13B48" w:rsidRDefault="005852F3" w:rsidP="005852F3">
      <w:pPr>
        <w:spacing w:after="0" w:line="360" w:lineRule="auto"/>
        <w:jc w:val="both"/>
        <w:rPr>
          <w:rFonts w:asciiTheme="majorBidi" w:hAnsiTheme="majorBidi" w:cstheme="majorBidi"/>
          <w:sz w:val="24"/>
          <w:szCs w:val="24"/>
        </w:rPr>
      </w:pPr>
      <w:r w:rsidRPr="00D13B48">
        <w:rPr>
          <w:rFonts w:asciiTheme="majorBidi" w:hAnsiTheme="majorBidi" w:cstheme="majorBidi"/>
          <w:sz w:val="24"/>
          <w:szCs w:val="24"/>
        </w:rPr>
        <w:t xml:space="preserve">La démocratie moderne est en train de subir, du fait des technologies de l'information, un ébranlement profond : pour la première fois dans son histoire, la démocratie directe est devenue techniquement possible. Le chef de l'exécutif pourrait à la rigueur consulter </w:t>
      </w:r>
      <w:r w:rsidRPr="00D13B48">
        <w:rPr>
          <w:rFonts w:asciiTheme="majorBidi" w:hAnsiTheme="majorBidi" w:cstheme="majorBidi"/>
          <w:sz w:val="24"/>
          <w:szCs w:val="24"/>
        </w:rPr>
        <w:lastRenderedPageBreak/>
        <w:t>l'ensemble des citoyens avant toute décision importante. Il suffirait que chaque électeur dispose d'un terminal et d'un code et que ce terminal soit relié à un ordinateur central. Cette éventualité ne se produira peut-être jamais mais le poids de l'opinion instantanée des citoyens pèse déjà de multiples manières sur les gouvernements. Les sondages sur échantillons représentatifs en sont un exemple. Dans une société transparente, le moindre groupuscule créant un événement - donc exprimant en général une opinion hostile au pouvoir existant - peut généralement se faire entendre. Tandis que s'affaiblissent les organes législatifs et les corps intermédiaires - partis, syndicats,... - les formes spontanées de démocratie prolifèrent. Chacun accepte de moins en moins de déléguer à d'autres la défense de ses intérêts.</w:t>
      </w:r>
    </w:p>
    <w:p w:rsidR="005852F3" w:rsidRPr="00D13B48" w:rsidRDefault="005852F3" w:rsidP="005852F3">
      <w:pPr>
        <w:spacing w:after="0" w:line="360" w:lineRule="auto"/>
        <w:jc w:val="both"/>
        <w:rPr>
          <w:rFonts w:asciiTheme="majorBidi" w:hAnsiTheme="majorBidi" w:cstheme="majorBidi"/>
          <w:sz w:val="24"/>
          <w:szCs w:val="24"/>
        </w:rPr>
      </w:pPr>
      <w:r w:rsidRPr="00D13B48">
        <w:rPr>
          <w:rFonts w:asciiTheme="majorBidi" w:hAnsiTheme="majorBidi" w:cstheme="majorBidi"/>
          <w:sz w:val="24"/>
          <w:szCs w:val="24"/>
        </w:rPr>
        <w:t>Il en résulte plusieurs conséquences : On assiste à une explosion des coûts de transaction. La moindre décision politique doit être longuement négociée avec les multiples groupes concernés avant d'être prise... ou ajournée. En d'autres termes, la pratique se répand de politiques qui privilégient les intérêts des petits groupes directement concernés aux dépens de ceux de la collectivité tout entière. On observe un émiettement du pouvoir qui prend les formes les plus diverses, de la décentralisation géographique à la décentralisation hiérarchique. Ce phénomène s'observe à l'intérieur de chaque pays, mais la mondialisation engendre la même évolution entre les pays. D'où cette interrogation : la société d'information ne risque-t-elle pas de devenir ingouvernable ? La société d'information va nous contraindre à une refondation de la démocratie. L'idéal démocratique n'est pas qu'à tout instant, le pouvoir politique se comporte comme le souhaite la majorité des citoyens. Cette définition pouvait être retenue provisoirement tant que cet idéal était irréalisable. La démocratie est un système où, pour des durées données, des pouvoirs limités mais suffisants sont accordés à des autorités régulièrement élues. Pouvoirs limités ne mettant en cause aucun des intérêts vitaux des groupes constituant la société. Pouvoirs suffisants permettant à la collectivité de faire face aux défis auxquels elle est confrontée. Dès lors, les décisions prises par ces autorités doivent être respectées pour autant qu'elles se situent à l'intérieur des pouvoirs délégués. Aussi, est-ce dans la mesure où le compromis démocratique est intériorisé par la plupart des citoyens que ce système politique est pérenne. Enfin, à cause de liens étroits entre les technologies de l'information et la mondialisation, les systèmes politiques de la société d'information ne pourront plus se concevoir dans un cadre strictement national ou intergouvernemental. Les États devront assumer collectivement certaines responsabilités et les multiples institutions internationales créées depuis 1945 sont à l'évidence la marque, encore timide, de ce processus. (Lesourne, 1997, pp. 133-134).</w:t>
      </w:r>
    </w:p>
    <w:p w:rsidR="005852F3" w:rsidRPr="00D13B48" w:rsidRDefault="005852F3" w:rsidP="005852F3">
      <w:pPr>
        <w:spacing w:after="0" w:line="360" w:lineRule="auto"/>
        <w:jc w:val="both"/>
        <w:rPr>
          <w:rFonts w:asciiTheme="majorBidi" w:hAnsiTheme="majorBidi" w:cstheme="majorBidi"/>
          <w:b/>
          <w:bCs/>
          <w:sz w:val="24"/>
          <w:szCs w:val="24"/>
        </w:rPr>
      </w:pPr>
      <w:r w:rsidRPr="00D13B48">
        <w:rPr>
          <w:rFonts w:asciiTheme="majorBidi" w:hAnsiTheme="majorBidi" w:cstheme="majorBidi"/>
          <w:b/>
          <w:bCs/>
          <w:sz w:val="24"/>
          <w:szCs w:val="24"/>
        </w:rPr>
        <w:lastRenderedPageBreak/>
        <w:t>Conclusion :</w:t>
      </w:r>
    </w:p>
    <w:p w:rsidR="005852F3" w:rsidRPr="00D13B48" w:rsidRDefault="005852F3" w:rsidP="005852F3">
      <w:pPr>
        <w:spacing w:after="0" w:line="360" w:lineRule="auto"/>
        <w:jc w:val="both"/>
        <w:rPr>
          <w:rFonts w:asciiTheme="majorBidi" w:hAnsiTheme="majorBidi" w:cstheme="majorBidi"/>
          <w:sz w:val="24"/>
          <w:szCs w:val="24"/>
        </w:rPr>
      </w:pPr>
      <w:r w:rsidRPr="00D13B48">
        <w:rPr>
          <w:rFonts w:asciiTheme="majorBidi" w:hAnsiTheme="majorBidi" w:cstheme="majorBidi"/>
          <w:sz w:val="24"/>
          <w:szCs w:val="24"/>
        </w:rPr>
        <w:t xml:space="preserve">Les changements engendrés par </w:t>
      </w:r>
      <w:r w:rsidR="005F1641">
        <w:rPr>
          <w:rFonts w:asciiTheme="majorBidi" w:hAnsiTheme="majorBidi" w:cstheme="majorBidi"/>
          <w:sz w:val="24"/>
          <w:szCs w:val="24"/>
        </w:rPr>
        <w:t xml:space="preserve">les technologie de l’information et de la communication dans l’ère de </w:t>
      </w:r>
      <w:r w:rsidRPr="00D13B48">
        <w:rPr>
          <w:rFonts w:asciiTheme="majorBidi" w:hAnsiTheme="majorBidi" w:cstheme="majorBidi"/>
          <w:sz w:val="24"/>
          <w:szCs w:val="24"/>
        </w:rPr>
        <w:t xml:space="preserve">la société de l’information sont loin d’être achevés. La prise de conscience de ses enjeux a conduit la plus part des Etats à mettre en œuvre des programme d’action portant sur le développement  des infrastructures, la formation et l’éducation, la lutte contre la fracture numérique et le développement de l’administration électronique. </w:t>
      </w:r>
    </w:p>
    <w:p w:rsidR="005852F3" w:rsidRPr="00D13B48" w:rsidRDefault="005852F3" w:rsidP="005852F3">
      <w:pPr>
        <w:spacing w:after="0" w:line="360" w:lineRule="auto"/>
        <w:jc w:val="both"/>
        <w:rPr>
          <w:rFonts w:asciiTheme="majorBidi" w:hAnsiTheme="majorBidi" w:cstheme="majorBidi"/>
          <w:b/>
          <w:bCs/>
          <w:sz w:val="24"/>
          <w:szCs w:val="24"/>
        </w:rPr>
      </w:pPr>
      <w:r w:rsidRPr="00D13B48">
        <w:rPr>
          <w:rFonts w:asciiTheme="majorBidi" w:hAnsiTheme="majorBidi" w:cstheme="majorBidi"/>
          <w:b/>
          <w:bCs/>
          <w:sz w:val="24"/>
          <w:szCs w:val="24"/>
        </w:rPr>
        <w:t>Liste des références bibliographiques :</w:t>
      </w:r>
    </w:p>
    <w:p w:rsidR="005852F3" w:rsidRPr="00D13B48" w:rsidRDefault="005852F3" w:rsidP="005852F3">
      <w:pPr>
        <w:spacing w:after="0" w:line="360" w:lineRule="auto"/>
        <w:jc w:val="both"/>
        <w:rPr>
          <w:rFonts w:asciiTheme="majorBidi" w:hAnsiTheme="majorBidi" w:cstheme="majorBidi"/>
          <w:sz w:val="24"/>
          <w:szCs w:val="24"/>
        </w:rPr>
      </w:pPr>
      <w:r w:rsidRPr="00D13B48">
        <w:rPr>
          <w:rFonts w:asciiTheme="majorBidi" w:hAnsiTheme="majorBidi" w:cstheme="majorBidi"/>
          <w:sz w:val="24"/>
          <w:szCs w:val="24"/>
        </w:rPr>
        <w:t xml:space="preserve">1. Curien, Nicolas et all. (2004). </w:t>
      </w:r>
      <w:r w:rsidRPr="00D13B48">
        <w:rPr>
          <w:rFonts w:asciiTheme="majorBidi" w:hAnsiTheme="majorBidi" w:cstheme="majorBidi"/>
          <w:i/>
          <w:iCs/>
          <w:sz w:val="24"/>
          <w:szCs w:val="24"/>
        </w:rPr>
        <w:t>La société de l’information</w:t>
      </w:r>
      <w:r w:rsidRPr="00D13B48">
        <w:rPr>
          <w:rFonts w:asciiTheme="majorBidi" w:hAnsiTheme="majorBidi" w:cstheme="majorBidi"/>
          <w:sz w:val="24"/>
          <w:szCs w:val="24"/>
        </w:rPr>
        <w:t xml:space="preserve"> (1</w:t>
      </w:r>
      <w:r w:rsidRPr="00D13B48">
        <w:rPr>
          <w:rFonts w:asciiTheme="majorBidi" w:hAnsiTheme="majorBidi" w:cstheme="majorBidi"/>
          <w:sz w:val="24"/>
          <w:szCs w:val="24"/>
          <w:vertAlign w:val="superscript"/>
        </w:rPr>
        <w:t>ère</w:t>
      </w:r>
      <w:r w:rsidRPr="00D13B48">
        <w:rPr>
          <w:rFonts w:asciiTheme="majorBidi" w:hAnsiTheme="majorBidi" w:cstheme="majorBidi"/>
          <w:sz w:val="24"/>
          <w:szCs w:val="24"/>
        </w:rPr>
        <w:t xml:space="preserve"> éd.). Paris : édition La Documentation française.</w:t>
      </w:r>
    </w:p>
    <w:p w:rsidR="005852F3" w:rsidRPr="00D13B48" w:rsidRDefault="005852F3" w:rsidP="005852F3">
      <w:pPr>
        <w:shd w:val="clear" w:color="auto" w:fill="FFFFFF"/>
        <w:spacing w:after="0" w:line="360" w:lineRule="auto"/>
        <w:jc w:val="both"/>
        <w:rPr>
          <w:rFonts w:asciiTheme="majorBidi" w:eastAsia="Times New Roman" w:hAnsiTheme="majorBidi" w:cstheme="majorBidi"/>
          <w:color w:val="585858"/>
          <w:sz w:val="24"/>
          <w:szCs w:val="24"/>
          <w:lang w:eastAsia="fr-FR"/>
        </w:rPr>
      </w:pPr>
      <w:r w:rsidRPr="00D13B48">
        <w:rPr>
          <w:rFonts w:asciiTheme="majorBidi" w:hAnsiTheme="majorBidi" w:cstheme="majorBidi"/>
          <w:sz w:val="24"/>
          <w:szCs w:val="24"/>
        </w:rPr>
        <w:t xml:space="preserve">2.  </w:t>
      </w:r>
      <w:r w:rsidRPr="00D13B48">
        <w:rPr>
          <w:rFonts w:asciiTheme="majorBidi" w:eastAsia="Times New Roman" w:hAnsiTheme="majorBidi" w:cstheme="majorBidi"/>
          <w:sz w:val="24"/>
          <w:szCs w:val="24"/>
          <w:lang w:eastAsia="fr-FR"/>
        </w:rPr>
        <w:t>De Montbrial, T. et Jacquet, p.</w:t>
      </w:r>
      <w:r w:rsidRPr="00D13B48">
        <w:rPr>
          <w:rFonts w:asciiTheme="majorBidi" w:hAnsiTheme="majorBidi" w:cstheme="majorBidi"/>
          <w:sz w:val="24"/>
          <w:szCs w:val="24"/>
          <w:shd w:val="clear" w:color="auto" w:fill="FFFFFF"/>
        </w:rPr>
        <w:t xml:space="preserve"> (1999). L'entrée dans le XXIe siècle, in RAMSES 2000</w:t>
      </w:r>
      <w:r w:rsidRPr="00D13B48">
        <w:rPr>
          <w:rFonts w:asciiTheme="majorBidi" w:eastAsia="Times New Roman" w:hAnsiTheme="majorBidi" w:cstheme="majorBidi"/>
          <w:sz w:val="24"/>
          <w:szCs w:val="24"/>
          <w:lang w:eastAsia="fr-FR"/>
        </w:rPr>
        <w:t xml:space="preserve">, repéré sur : </w:t>
      </w:r>
      <w:hyperlink r:id="rId6" w:history="1">
        <w:r w:rsidRPr="00D13B48">
          <w:rPr>
            <w:rStyle w:val="Lienhypertexte"/>
            <w:rFonts w:asciiTheme="majorBidi" w:hAnsiTheme="majorBidi" w:cstheme="majorBidi"/>
            <w:sz w:val="24"/>
            <w:szCs w:val="24"/>
          </w:rPr>
          <w:t>https://www.carrefour-du-futur.com/articles/la-soci%C3%A9t%C3%A9-de-l-information-au-xxie-si%C3%A8cle-enjeux-promesses-et-d%C3%A9fis/</w:t>
        </w:r>
      </w:hyperlink>
    </w:p>
    <w:p w:rsidR="005852F3" w:rsidRDefault="005852F3" w:rsidP="005852F3">
      <w:pPr>
        <w:spacing w:after="0"/>
        <w:jc w:val="center"/>
      </w:pPr>
      <w:r w:rsidRPr="00D13B48">
        <w:rPr>
          <w:rFonts w:asciiTheme="majorBidi" w:hAnsiTheme="majorBidi" w:cstheme="majorBidi"/>
          <w:sz w:val="24"/>
          <w:szCs w:val="24"/>
        </w:rPr>
        <w:t xml:space="preserve">3. Lesourne, J. (1997). Penser la société d'information. In: Réseaux. pp. 121-134; repéré sur : </w:t>
      </w:r>
      <w:hyperlink r:id="rId7" w:history="1">
        <w:r w:rsidRPr="00D13B48">
          <w:rPr>
            <w:rStyle w:val="Lienhypertexte"/>
            <w:rFonts w:asciiTheme="majorBidi" w:hAnsiTheme="majorBidi" w:cstheme="majorBidi"/>
            <w:sz w:val="24"/>
            <w:szCs w:val="24"/>
          </w:rPr>
          <w:t>https://www.persee.fr/docAsPDF/reso_0751-7971_1997_num_15_81_2890.pdf</w:t>
        </w:r>
      </w:hyperlink>
      <w:r>
        <w:t xml:space="preserve"> </w:t>
      </w:r>
    </w:p>
    <w:p w:rsidR="005852F3" w:rsidRDefault="005852F3" w:rsidP="005852F3">
      <w:pPr>
        <w:spacing w:after="0"/>
        <w:jc w:val="center"/>
      </w:pPr>
    </w:p>
    <w:p w:rsidR="00997207" w:rsidRDefault="00997207"/>
    <w:sectPr w:rsidR="00997207" w:rsidSect="00697364">
      <w:headerReference w:type="default" r:id="rId8"/>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2E5E" w:rsidRDefault="00862E5E" w:rsidP="00B8261F">
      <w:pPr>
        <w:spacing w:after="0" w:line="240" w:lineRule="auto"/>
      </w:pPr>
      <w:r>
        <w:separator/>
      </w:r>
    </w:p>
  </w:endnote>
  <w:endnote w:type="continuationSeparator" w:id="1">
    <w:p w:rsidR="00862E5E" w:rsidRDefault="00862E5E" w:rsidP="00B826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2E5E" w:rsidRDefault="00862E5E" w:rsidP="00B8261F">
      <w:pPr>
        <w:spacing w:after="0" w:line="240" w:lineRule="auto"/>
      </w:pPr>
      <w:r>
        <w:separator/>
      </w:r>
    </w:p>
  </w:footnote>
  <w:footnote w:type="continuationSeparator" w:id="1">
    <w:p w:rsidR="00862E5E" w:rsidRDefault="00862E5E" w:rsidP="00B826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61F" w:rsidRPr="00B8261F" w:rsidRDefault="00B8261F" w:rsidP="005778A1">
    <w:pPr>
      <w:jc w:val="both"/>
      <w:rPr>
        <w:rFonts w:asciiTheme="majorBidi" w:hAnsiTheme="majorBidi" w:cstheme="majorBidi"/>
      </w:rPr>
    </w:pPr>
    <w:r w:rsidRPr="00E26831">
      <w:rPr>
        <w:rFonts w:asciiTheme="majorBidi" w:hAnsiTheme="majorBidi" w:cstheme="majorBidi"/>
        <w:b/>
        <w:bCs/>
      </w:rPr>
      <w:t>Niveau :</w:t>
    </w:r>
    <w:r>
      <w:rPr>
        <w:rFonts w:asciiTheme="majorBidi" w:hAnsiTheme="majorBidi" w:cstheme="majorBidi"/>
      </w:rPr>
      <w:t xml:space="preserve"> L1, Sciences sociales, section </w:t>
    </w:r>
    <w:r w:rsidR="005778A1">
      <w:rPr>
        <w:rFonts w:asciiTheme="majorBidi" w:hAnsiTheme="majorBidi" w:cstheme="majorBidi"/>
      </w:rPr>
      <w:t>3</w:t>
    </w:r>
    <w:r w:rsidRPr="00E26831">
      <w:rPr>
        <w:rFonts w:asciiTheme="majorBidi" w:hAnsiTheme="majorBidi" w:cstheme="majorBidi"/>
      </w:rPr>
      <w:t xml:space="preserve">   </w:t>
    </w:r>
    <w:r>
      <w:rPr>
        <w:rFonts w:asciiTheme="majorBidi" w:hAnsiTheme="majorBidi" w:cstheme="majorBidi"/>
      </w:rPr>
      <w:t xml:space="preserve">     </w:t>
    </w:r>
    <w:r w:rsidRPr="00E26831">
      <w:rPr>
        <w:rFonts w:asciiTheme="majorBidi" w:hAnsiTheme="majorBidi" w:cstheme="majorBidi"/>
      </w:rPr>
      <w:t xml:space="preserve">       </w:t>
    </w:r>
    <w:r w:rsidRPr="00E26831">
      <w:rPr>
        <w:rFonts w:asciiTheme="majorBidi" w:hAnsiTheme="majorBidi" w:cstheme="majorBidi"/>
        <w:b/>
        <w:bCs/>
      </w:rPr>
      <w:t>Matière</w:t>
    </w:r>
    <w:r w:rsidRPr="00E26831">
      <w:rPr>
        <w:rFonts w:asciiTheme="majorBidi" w:hAnsiTheme="majorBidi" w:cstheme="majorBidi"/>
      </w:rPr>
      <w:t> </w:t>
    </w:r>
    <w:r w:rsidRPr="00E26831">
      <w:rPr>
        <w:rFonts w:asciiTheme="majorBidi" w:hAnsiTheme="majorBidi" w:cstheme="majorBidi"/>
        <w:b/>
        <w:bCs/>
      </w:rPr>
      <w:t>:</w:t>
    </w:r>
    <w:r w:rsidRPr="00E26831">
      <w:rPr>
        <w:rFonts w:asciiTheme="majorBidi" w:hAnsiTheme="majorBidi" w:cstheme="majorBidi"/>
      </w:rPr>
      <w:t xml:space="preserve"> Introduction à la société de l’information</w:t>
    </w:r>
    <w:r>
      <w:rPr>
        <w:rFonts w:asciiTheme="majorBidi" w:hAnsiTheme="majorBidi" w:cstheme="majorBidi"/>
      </w:rPr>
      <w:t xml:space="preserve">                            </w:t>
    </w:r>
    <w:r w:rsidRPr="00E53667">
      <w:rPr>
        <w:rFonts w:asciiTheme="majorBidi" w:hAnsiTheme="majorBidi" w:cstheme="majorBidi"/>
        <w:b/>
        <w:bCs/>
      </w:rPr>
      <w:t>Chargé</w:t>
    </w:r>
    <w:r>
      <w:rPr>
        <w:rFonts w:asciiTheme="majorBidi" w:hAnsiTheme="majorBidi" w:cstheme="majorBidi"/>
        <w:b/>
        <w:bCs/>
      </w:rPr>
      <w:t>e</w:t>
    </w:r>
    <w:r w:rsidRPr="00E53667">
      <w:rPr>
        <w:rFonts w:asciiTheme="majorBidi" w:hAnsiTheme="majorBidi" w:cstheme="majorBidi"/>
        <w:b/>
        <w:bCs/>
      </w:rPr>
      <w:t xml:space="preserve"> de la mat</w:t>
    </w:r>
    <w:r>
      <w:rPr>
        <w:rFonts w:asciiTheme="majorBidi" w:hAnsiTheme="majorBidi" w:cstheme="majorBidi"/>
        <w:b/>
        <w:bCs/>
      </w:rPr>
      <w:t>i</w:t>
    </w:r>
    <w:r w:rsidRPr="00E53667">
      <w:rPr>
        <w:rFonts w:asciiTheme="majorBidi" w:hAnsiTheme="majorBidi" w:cstheme="majorBidi"/>
        <w:b/>
        <w:bCs/>
      </w:rPr>
      <w:t>ère :</w:t>
    </w:r>
    <w:r>
      <w:rPr>
        <w:rFonts w:asciiTheme="majorBidi" w:hAnsiTheme="majorBidi" w:cstheme="majorBidi"/>
      </w:rPr>
      <w:t xml:space="preserve"> Dr. Dali Kenza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5852F3"/>
    <w:rsid w:val="00077391"/>
    <w:rsid w:val="0015478E"/>
    <w:rsid w:val="00476194"/>
    <w:rsid w:val="005778A1"/>
    <w:rsid w:val="005852F3"/>
    <w:rsid w:val="005B77D3"/>
    <w:rsid w:val="005F1641"/>
    <w:rsid w:val="00697364"/>
    <w:rsid w:val="007F38AC"/>
    <w:rsid w:val="00862E5E"/>
    <w:rsid w:val="00997207"/>
    <w:rsid w:val="00B8261F"/>
    <w:rsid w:val="00FA216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2F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852F3"/>
    <w:rPr>
      <w:color w:val="0000FF"/>
      <w:u w:val="single"/>
    </w:rPr>
  </w:style>
  <w:style w:type="paragraph" w:styleId="En-tte">
    <w:name w:val="header"/>
    <w:basedOn w:val="Normal"/>
    <w:link w:val="En-tteCar"/>
    <w:uiPriority w:val="99"/>
    <w:unhideWhenUsed/>
    <w:rsid w:val="00B8261F"/>
    <w:pPr>
      <w:tabs>
        <w:tab w:val="center" w:pos="4536"/>
        <w:tab w:val="right" w:pos="9072"/>
      </w:tabs>
      <w:spacing w:after="0" w:line="240" w:lineRule="auto"/>
    </w:pPr>
  </w:style>
  <w:style w:type="character" w:customStyle="1" w:styleId="En-tteCar">
    <w:name w:val="En-tête Car"/>
    <w:basedOn w:val="Policepardfaut"/>
    <w:link w:val="En-tte"/>
    <w:uiPriority w:val="99"/>
    <w:rsid w:val="00B8261F"/>
  </w:style>
  <w:style w:type="paragraph" w:styleId="Pieddepage">
    <w:name w:val="footer"/>
    <w:basedOn w:val="Normal"/>
    <w:link w:val="PieddepageCar"/>
    <w:uiPriority w:val="99"/>
    <w:semiHidden/>
    <w:unhideWhenUsed/>
    <w:rsid w:val="00B8261F"/>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B8261F"/>
  </w:style>
  <w:style w:type="paragraph" w:styleId="Textedebulles">
    <w:name w:val="Balloon Text"/>
    <w:basedOn w:val="Normal"/>
    <w:link w:val="TextedebullesCar"/>
    <w:uiPriority w:val="99"/>
    <w:semiHidden/>
    <w:unhideWhenUsed/>
    <w:rsid w:val="00B826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826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persee.fr/docAsPDF/reso_0751-7971_1997_num_15_81_2890.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rrefour-du-futur.com/articles/la-soci%C3%A9t%C3%A9-de-l-information-au-xxie-si%C3%A8cle-enjeux-promesses-et-d%C3%A9fi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4174</Words>
  <Characters>22961</Characters>
  <Application>Microsoft Office Word</Application>
  <DocSecurity>0</DocSecurity>
  <Lines>191</Lines>
  <Paragraphs>54</Paragraphs>
  <ScaleCrop>false</ScaleCrop>
  <Company/>
  <LinksUpToDate>false</LinksUpToDate>
  <CharactersWithSpaces>27081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dc:creator>
  <cp:lastModifiedBy>its</cp:lastModifiedBy>
  <cp:revision>7</cp:revision>
  <dcterms:created xsi:type="dcterms:W3CDTF">2024-04-27T20:09:00Z</dcterms:created>
  <dcterms:modified xsi:type="dcterms:W3CDTF">2025-04-26T17:04:00Z</dcterms:modified>
</cp:coreProperties>
</file>