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9F" w:rsidRPr="00901B8B" w:rsidRDefault="005F409F" w:rsidP="00901B8B">
      <w:pPr>
        <w:bidi/>
        <w:spacing w:after="0"/>
        <w:ind w:firstLine="565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الرواية العربية المعاصرة:</w:t>
      </w:r>
    </w:p>
    <w:p w:rsidR="005F409F" w:rsidRPr="00901B8B" w:rsidRDefault="005F409F" w:rsidP="00206844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هي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أحد أهم أشكال التعبير الأدبي في العالم العربي، وتعكس تحولات اجتماعية وسياسية وثقافية عميقة مرت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بها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المنطقة منذ منتصف القرن العشرين حتى اليوم. تتميز بتنوعها الموضوعي والأسلوبي، وارتباطها الوثيق بقضايا الهوية، والصراع بين التقليد والحداثة، والتحديات السياسية مثل الاستعمار والحروب والثورات</w:t>
      </w:r>
      <w:r w:rsidR="00206844"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  <w:t xml:space="preserve">1. 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النشأة والتأثر بالغرب</w:t>
      </w:r>
      <w:r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بدأت الرواية العربية تتشكل في أواخر القرن التاسع </w:t>
      </w: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عشر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وبدايات القرن العشرين متأثرة بالأدب الأوروبي، خاصة بعد حركة الترجمة والنهضة (النَهضة) الثقافية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روايات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زينب" لمحمد حسين هيكل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 xml:space="preserve"> (1914)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تُعتبر من الأعمال التأسيسية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  <w:t xml:space="preserve">2. 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الازدهار في القرن </w:t>
      </w:r>
      <w:proofErr w:type="gram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العشرين</w:t>
      </w:r>
      <w:proofErr w:type="gramEnd"/>
      <w:r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في الخمسينيات والستينيات، برزت أسماء كبرى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نجيب محفوظ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مصر)، الذي حصل على جائزة نوبل عام 1988، وأعماله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الثلاثية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و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أولاد حارتنا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تعكس تحولات المجتمع المصري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تزامن هذا مع صعود الرواية الواقعية التي </w:t>
      </w: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تناقش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قضايا الفقر والصراع الطبقي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  <w:t xml:space="preserve">3. 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ما </w:t>
      </w:r>
      <w:proofErr w:type="gram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بعد</w:t>
      </w:r>
      <w:proofErr w:type="gram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الحداثة والتجريب</w:t>
      </w:r>
      <w:r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5F409F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منذ الثمانينيات، اتجهت الرواية إلى تجريب أشكال سردية جديدة، مثل تيار الوعي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والانزياحات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الزمنية، كما في أعمال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إلياس خوري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لبنان)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باب الشمس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أو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صنع الله إبراهيم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 في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ذات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أبرز الموضوعات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  <w:t xml:space="preserve">1. </w:t>
      </w:r>
      <w:proofErr w:type="gram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الهوية</w:t>
      </w:r>
      <w:proofErr w:type="gram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والوجود</w:t>
      </w:r>
      <w:r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تساؤلات حول الهوية العربية في ظل العولمة، والصراع بين التراث والحداثة، كما في روايات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عبد الرحمن منيف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السعودية/الأردن)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مدن الملح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روايات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الهجرة والاغتراب، مثل أعمال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الطاهر بن جلون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المغرب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  <w:lastRenderedPageBreak/>
        <w:t xml:space="preserve">2. 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السياسة والصراعات</w:t>
      </w:r>
      <w:r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تأثير الحروب الأهلية (لبنان، العراق، سوريا) والاحتلال (فلسطين) على البنية الاجتماعية، كما في روايات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غسان كنفاني "رجال في الشمس"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أو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حنا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مينة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سوريا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روايات الثورات العربية (الربيع العربي)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عزازيل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" ليوسف زيدان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 أو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ساق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البامبو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" لسعود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السنعوسي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الكويت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5F409F" w:rsidRPr="00901B8B" w:rsidRDefault="005F409F" w:rsidP="00901B8B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  <w:t xml:space="preserve">3. 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قضايا المرأة والنوع الاجتماعي</w:t>
      </w:r>
      <w:r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5F409F" w:rsidRDefault="005F409F" w:rsidP="00901B8B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بروز أصوات نسائية قوية تعالج قيود المجتمع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الذكوري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أحلام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مستغانمي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الجزائر) في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ذاكرة الجسد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أو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نوال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السعداوي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 في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امرأة عند نقطة الصفر".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proofErr w:type="gram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السمات</w:t>
      </w:r>
      <w:proofErr w:type="gram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الفنية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الانزياح عن السرد الكلاسيكي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 xml:space="preserve">: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استخدام تقنيات مثل تعدد الأصوات السردية، واللغة الشعرية، والانزياح الزمني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المزج بين الفصحى والعامية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 xml:space="preserve">: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خاصة في الحوارات، لإضفاء الواقعية، كما في أعمال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علاء الأسواني "عمارة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يعقوبيان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".</w:t>
      </w:r>
    </w:p>
    <w:p w:rsidR="005F409F" w:rsidRPr="005F409F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التفاعل مع التراث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 xml:space="preserve">: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إعادة كتابة التاريخ أو الأساطير العربية بشكل نقدي، مثل روايات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جمال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الغيطاني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أعلام الرواية العربية المعاصرة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نجيب محفوظ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مصر): رائد الرواية الواقعية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إلياس خوري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لبنان): روائي ما بعد الحداثة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أحلام </w:t>
      </w:r>
      <w:proofErr w:type="spell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مستغانمي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الجزائر): الجمع بين الشعر والسرد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الطاهر </w:t>
      </w:r>
      <w:proofErr w:type="gramStart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وطار</w:t>
      </w:r>
      <w:proofErr w:type="gram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الجزائر): معالجة قضايا الثورة والهوية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هدى بركات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لبنان): روايات الحرب الأهلية اللبنانية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"حارث المياه".</w:t>
      </w:r>
    </w:p>
    <w:p w:rsidR="005F409F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جمال ناجي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الأردن): </w:t>
      </w: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استكشاف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التحولات الاجتماعية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  <w:r w:rsidR="00206844"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  <w:t>ذ</w:t>
      </w:r>
    </w:p>
    <w:p w:rsidR="00206844" w:rsidRPr="005F409F" w:rsidRDefault="00206844" w:rsidP="00206844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</w:p>
    <w:p w:rsidR="00901B8B" w:rsidRPr="00901B8B" w:rsidRDefault="00901B8B" w:rsidP="00901B8B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lastRenderedPageBreak/>
        <w:t>ا</w:t>
      </w:r>
      <w:r w:rsidR="005F409F"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لرواية العربية </w:t>
      </w:r>
      <w:proofErr w:type="spellStart"/>
      <w:r w:rsidR="005F409F" w:rsidRPr="005F409F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النسوية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:</w:t>
      </w:r>
    </w:p>
    <w:p w:rsidR="005F409F" w:rsidRPr="00901B8B" w:rsidRDefault="005F409F" w:rsidP="00901B8B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هي أحد الاتجاهات البارزة في الأدب العربي المعاصر، تركّز على قضايا المرأة وهُويتها، وصراعاتها داخل المجتمع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الذكوري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، وتطرح أسئلة نقدية حول الأدوار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الجندرية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والسلطة والتحرر. تعكس هذه الروايات صوت المرأة العربيَة بوصفه فاعلاً أدبيّاً وسياسيّاً، وتتحدى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التابوهات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الاجتماعية والدينية عبر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سرديات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تجمع بين الجرأة الفنية والالتزام بقضية التغيير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proofErr w:type="gram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التطور</w:t>
      </w:r>
      <w:proofErr w:type="gram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التاريخي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901B8B" w:rsidRPr="00901B8B" w:rsidRDefault="00901B8B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  <w:t xml:space="preserve">1. 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البدايات التأسيسية (النصف الأول من القرن العشرين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):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ظهرت إرهاصات مبكرة في أعمال روائيات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ليلى بنت الصحراء" لزينب فواز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(1899)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، لكن البداية الفعلية تأخرت بسبب هيمنة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الذكورية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على المشهد الأدبي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في الخمسينيات، برزت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نوال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السعداوي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 عبر رواية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امرأة عند نقطة الصفر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(1975)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التي كسرت الصمت حول قضايا الجسد والعنف الجنسي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01B8B" w:rsidRPr="00901B8B" w:rsidRDefault="00901B8B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  <w:t xml:space="preserve">2. </w:t>
      </w:r>
      <w:proofErr w:type="gramStart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الانتشار</w:t>
      </w:r>
      <w:proofErr w:type="gramEnd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والتعددية (الثمانينيات–2000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):</w:t>
      </w:r>
    </w:p>
    <w:p w:rsidR="00901B8B" w:rsidRPr="00901B8B" w:rsidRDefault="00901B8B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مع تصاعد الحركات </w:t>
      </w:r>
      <w:proofErr w:type="spellStart"/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النسوية</w:t>
      </w:r>
      <w:proofErr w:type="spellEnd"/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عالميّاً، ظهرت جيل روائيات مثل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ليانا بدر</w:t>
      </w: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فلسطين) في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نجمة أريحا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و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أحلام </w:t>
      </w:r>
      <w:proofErr w:type="spellStart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مستغانمي</w:t>
      </w:r>
      <w:proofErr w:type="spellEnd"/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الجزائر) في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ذاكرة الجسد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اللتين مزجتا بين السيرة الذاتية والنقد الاجتماعي</w:t>
      </w:r>
      <w:r w:rsidR="005F409F"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في المغرب، كتبت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ليلى </w:t>
      </w:r>
      <w:proofErr w:type="gram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أبو</w:t>
      </w:r>
      <w:proofErr w:type="gram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زيد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رواية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عام الفيل</w:t>
      </w:r>
      <w:r w:rsidR="00901B8B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"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 xml:space="preserve"> (1983)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كسيرة ذاتية تنتقد التقاليد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01B8B" w:rsidRPr="00901B8B" w:rsidRDefault="00901B8B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  <w:t xml:space="preserve">3. </w:t>
      </w:r>
      <w:proofErr w:type="gramStart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الموجة</w:t>
      </w:r>
      <w:proofErr w:type="gramEnd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الجديدة (ما بعد 2010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):</w:t>
      </w:r>
    </w:p>
    <w:p w:rsidR="005F409F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روايات أكثر جرأة في الطرح،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ساق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البامبو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" لسعود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السنعوسي</w:t>
      </w:r>
      <w:proofErr w:type="spellEnd"/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الكويت) – رغم كونه رجلاً – التي تتناول هوية المرأة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المهمشة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و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تغريبة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العبدي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" لإنعام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كجه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جي</w:t>
      </w:r>
      <w:proofErr w:type="spellEnd"/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العراق) التي تعيد كتابة التاريخ من منظور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نسوي</w:t>
      </w:r>
      <w:proofErr w:type="spellEnd"/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.</w:t>
      </w:r>
    </w:p>
    <w:p w:rsidR="00206844" w:rsidRDefault="00206844" w:rsidP="00206844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</w:pPr>
    </w:p>
    <w:p w:rsidR="00206844" w:rsidRPr="005F409F" w:rsidRDefault="00206844" w:rsidP="00206844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lastRenderedPageBreak/>
        <w:t>أبرز الموضوعات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901B8B" w:rsidRPr="00901B8B" w:rsidRDefault="00901B8B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  <w:t xml:space="preserve">1. </w:t>
      </w:r>
      <w:proofErr w:type="gramStart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الجسد</w:t>
      </w:r>
      <w:proofErr w:type="gramEnd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والتحرر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نقد ثقافة "</w:t>
      </w: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العذرية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" و"الشرف" كما في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براري الحُمّى" لسحر خليفة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فلسطين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تمرد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المرأة على وصاية المجتمع، كما في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أطياف" لرجاء عالم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السعودية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901B8B" w:rsidRPr="00901B8B" w:rsidRDefault="00901B8B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  <w:t xml:space="preserve">2. </w:t>
      </w:r>
      <w:proofErr w:type="gramStart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الهوية</w:t>
      </w:r>
      <w:proofErr w:type="gramEnd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والانتماء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: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صراع المرأة بين التقاليد والحداثة، مثل رواية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الطنطورية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"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لرضوى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عاشور</w:t>
      </w:r>
      <w:r w:rsidR="00901B8B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 التي تربط بين قضية المرأة والقضية الفلسطينية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هجرة النساء العربيات وتحديات الاندماج في الغرب، كما في أعمال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فاطمة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المرنيسي</w:t>
      </w:r>
      <w:proofErr w:type="spellEnd"/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المغرب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901B8B" w:rsidRPr="00901B8B" w:rsidRDefault="00901B8B" w:rsidP="00901B8B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3. </w:t>
      </w:r>
      <w:proofErr w:type="gramStart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العنف</w:t>
      </w:r>
      <w:proofErr w:type="gramEnd"/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والاضطهاد</w:t>
      </w:r>
      <w:r w:rsidR="005F409F"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901B8B" w:rsidRPr="00901B8B" w:rsidRDefault="005F409F" w:rsidP="00901B8B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فضح جرائم "القتل باسم الشرف" أو الزواج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القسري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كما في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الخبز الحافي" لمحمد شكري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المغرب) – رغم كونه رجلاً – أو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أرض السواد" لعبد الرحمن منيف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5F409F" w:rsidRDefault="005F409F" w:rsidP="00901B8B">
      <w:pPr>
        <w:bidi/>
        <w:spacing w:after="0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proofErr w:type="gram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مقاومة</w:t>
      </w:r>
      <w:proofErr w:type="gram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الاستبداد السياسي والديني، مثل رواية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فرج" لرشا أمير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).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proofErr w:type="gram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السمات</w:t>
      </w:r>
      <w:proofErr w:type="gram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الفنية المميزة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السرد الذاتي</w:t>
      </w:r>
      <w:r w:rsidR="00901B8B"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  <w:t xml:space="preserve">: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استخدام الأنا الساردة لتعزيز صوت المرأة، كما في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أوراقي سرقاتي" لسحر خليفة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التفكيك النقدي للتاريخ</w:t>
      </w:r>
      <w:r w:rsidR="00901B8B"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  <w:t xml:space="preserve">: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إعادة قراءة التراث برؤية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نسوية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، مثل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"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عزازيل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" ليوسف زيدان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،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يقدم شخصية "هيبا" كمركز للرواية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.</w:t>
      </w:r>
    </w:p>
    <w:p w:rsidR="00901B8B" w:rsidRPr="00901B8B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اللغة الشعرية</w:t>
      </w:r>
      <w:r w:rsidR="00901B8B"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  <w:t xml:space="preserve">: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مزج الواقعي بالرمزي، كما في كتابات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 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أحلام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مستغانمي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5F409F" w:rsidRDefault="005F409F" w:rsidP="00901B8B">
      <w:pPr>
        <w:bidi/>
        <w:spacing w:after="0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proofErr w:type="gram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تعدد</w:t>
      </w:r>
      <w:proofErr w:type="gram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الأصوات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: 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إعطاء مساحة لنساء من خلفيات طبقية مختلفة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.</w:t>
      </w:r>
    </w:p>
    <w:p w:rsidR="00206844" w:rsidRDefault="00206844" w:rsidP="00206844">
      <w:pPr>
        <w:bidi/>
        <w:spacing w:after="0" w:line="360" w:lineRule="auto"/>
        <w:ind w:firstLine="565"/>
        <w:jc w:val="both"/>
        <w:outlineLvl w:val="2"/>
        <w:rPr>
          <w:rFonts w:ascii="Simplified Arabic" w:eastAsia="Times New Roman" w:hAnsi="Simplified Arabic" w:cs="Simplified Arabic" w:hint="cs"/>
          <w:b/>
          <w:bCs/>
          <w:kern w:val="0"/>
          <w:sz w:val="32"/>
          <w:szCs w:val="32"/>
          <w:rtl/>
          <w:lang w:eastAsia="fr-FR"/>
        </w:rPr>
      </w:pPr>
    </w:p>
    <w:p w:rsidR="00206844" w:rsidRDefault="00206844" w:rsidP="00206844">
      <w:pPr>
        <w:bidi/>
        <w:spacing w:after="0" w:line="360" w:lineRule="auto"/>
        <w:ind w:firstLine="565"/>
        <w:jc w:val="both"/>
        <w:outlineLvl w:val="2"/>
        <w:rPr>
          <w:rFonts w:ascii="Simplified Arabic" w:eastAsia="Times New Roman" w:hAnsi="Simplified Arabic" w:cs="Simplified Arabic" w:hint="cs"/>
          <w:b/>
          <w:bCs/>
          <w:kern w:val="0"/>
          <w:sz w:val="32"/>
          <w:szCs w:val="32"/>
          <w:rtl/>
          <w:lang w:eastAsia="fr-FR"/>
        </w:rPr>
      </w:pPr>
    </w:p>
    <w:p w:rsidR="00901B8B" w:rsidRPr="00901B8B" w:rsidRDefault="005F409F" w:rsidP="00206844">
      <w:pPr>
        <w:bidi/>
        <w:spacing w:after="0" w:line="360" w:lineRule="auto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lastRenderedPageBreak/>
        <w:t xml:space="preserve">أعلام الرواية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النسوية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العربية</w:t>
      </w: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lang w:eastAsia="fr-FR"/>
        </w:rPr>
        <w:t>:</w:t>
      </w:r>
    </w:p>
    <w:p w:rsidR="005F409F" w:rsidRPr="005F409F" w:rsidRDefault="005F409F" w:rsidP="00206844">
      <w:pPr>
        <w:bidi/>
        <w:spacing w:after="0" w:line="360" w:lineRule="auto"/>
        <w:ind w:firstLine="565"/>
        <w:jc w:val="both"/>
        <w:outlineLvl w:val="2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نوال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السعداوي</w:t>
      </w:r>
      <w:proofErr w:type="spellEnd"/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مصر): رائدة الأدب النسوي الثوري</w:t>
      </w:r>
      <w:r w:rsidR="00206844"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  <w:t>.</w:t>
      </w:r>
    </w:p>
    <w:p w:rsidR="005F409F" w:rsidRPr="005F409F" w:rsidRDefault="005F409F" w:rsidP="00206844">
      <w:pPr>
        <w:bidi/>
        <w:spacing w:after="0" w:line="360" w:lineRule="auto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أحلام </w:t>
      </w: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مستغانمي</w:t>
      </w:r>
      <w:proofErr w:type="spellEnd"/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الجزائر): الجمع بين الشعرية والخطاب النسوي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5F409F" w:rsidRDefault="005F409F" w:rsidP="00206844">
      <w:pPr>
        <w:bidi/>
        <w:spacing w:after="0" w:line="360" w:lineRule="auto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proofErr w:type="spellStart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رضوى</w:t>
      </w:r>
      <w:proofErr w:type="spellEnd"/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 xml:space="preserve"> عاشور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مصر): ربط القضية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النسوية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بالهموم السياسية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5F409F" w:rsidRDefault="005F409F" w:rsidP="00206844">
      <w:pPr>
        <w:bidi/>
        <w:spacing w:after="0" w:line="360" w:lineRule="auto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سحر خليفة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فلسطين): صوت المرأة في سياق المقاومة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01B8B" w:rsidRDefault="005F409F" w:rsidP="00206844">
      <w:pPr>
        <w:bidi/>
        <w:spacing w:after="0" w:line="360" w:lineRule="auto"/>
        <w:ind w:firstLine="565"/>
        <w:jc w:val="both"/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 w:bidi="ar-DZ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هدى بركات</w:t>
      </w:r>
      <w:r w:rsidR="00901B8B" w:rsidRPr="00901B8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لبنان): استكشاف تأثير الحروب على النساء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5F409F" w:rsidRPr="005F409F" w:rsidRDefault="005F409F" w:rsidP="00206844">
      <w:pPr>
        <w:bidi/>
        <w:spacing w:after="0" w:line="360" w:lineRule="auto"/>
        <w:ind w:firstLine="565"/>
        <w:jc w:val="both"/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</w:pPr>
      <w:r w:rsidRPr="00901B8B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eastAsia="fr-FR"/>
        </w:rPr>
        <w:t>رجاء عالم</w:t>
      </w:r>
      <w:r w:rsidR="00901B8B">
        <w:rPr>
          <w:rFonts w:ascii="Simplified Arabic" w:eastAsia="Times New Roman" w:hAnsi="Simplified Arabic" w:cs="Simplified Arabic" w:hint="cs"/>
          <w:kern w:val="0"/>
          <w:sz w:val="32"/>
          <w:szCs w:val="32"/>
          <w:rtl/>
          <w:lang w:eastAsia="fr-FR"/>
        </w:rPr>
        <w:t xml:space="preserve"> (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السعودية): كسر </w:t>
      </w:r>
      <w:proofErr w:type="spellStart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>تابوهات</w:t>
      </w:r>
      <w:proofErr w:type="spellEnd"/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eastAsia="fr-FR"/>
        </w:rPr>
        <w:t xml:space="preserve"> المجتمع المحافظ</w:t>
      </w:r>
      <w:r w:rsidRPr="005F409F">
        <w:rPr>
          <w:rFonts w:ascii="Simplified Arabic" w:eastAsia="Times New Roman" w:hAnsi="Simplified Arabic" w:cs="Simplified Arabic"/>
          <w:kern w:val="0"/>
          <w:sz w:val="32"/>
          <w:szCs w:val="32"/>
          <w:lang w:eastAsia="fr-FR"/>
        </w:rPr>
        <w:t>.</w:t>
      </w:r>
    </w:p>
    <w:p w:rsidR="00910281" w:rsidRPr="00901B8B" w:rsidRDefault="00910281" w:rsidP="00206844">
      <w:pPr>
        <w:bidi/>
        <w:spacing w:after="0" w:line="360" w:lineRule="auto"/>
        <w:ind w:firstLine="565"/>
        <w:jc w:val="both"/>
        <w:rPr>
          <w:rFonts w:ascii="Simplified Arabic" w:hAnsi="Simplified Arabic" w:cs="Simplified Arabic"/>
          <w:sz w:val="32"/>
          <w:szCs w:val="32"/>
        </w:rPr>
      </w:pPr>
    </w:p>
    <w:sectPr w:rsidR="00910281" w:rsidRPr="00901B8B" w:rsidSect="00901B8B"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A1E"/>
    <w:multiLevelType w:val="multilevel"/>
    <w:tmpl w:val="E0FA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E2478"/>
    <w:multiLevelType w:val="multilevel"/>
    <w:tmpl w:val="833C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8412D"/>
    <w:multiLevelType w:val="multilevel"/>
    <w:tmpl w:val="49E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1631A"/>
    <w:multiLevelType w:val="multilevel"/>
    <w:tmpl w:val="61DE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70DBE"/>
    <w:multiLevelType w:val="multilevel"/>
    <w:tmpl w:val="D27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7420A"/>
    <w:multiLevelType w:val="multilevel"/>
    <w:tmpl w:val="5F6C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CC7"/>
    <w:multiLevelType w:val="multilevel"/>
    <w:tmpl w:val="8988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23CEB"/>
    <w:multiLevelType w:val="multilevel"/>
    <w:tmpl w:val="995E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AB3099"/>
    <w:multiLevelType w:val="multilevel"/>
    <w:tmpl w:val="328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C92A36"/>
    <w:multiLevelType w:val="multilevel"/>
    <w:tmpl w:val="4C26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F2CBE"/>
    <w:multiLevelType w:val="multilevel"/>
    <w:tmpl w:val="42D0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F409F"/>
    <w:rsid w:val="00206844"/>
    <w:rsid w:val="002F4DD9"/>
    <w:rsid w:val="005F409F"/>
    <w:rsid w:val="008F7EA6"/>
    <w:rsid w:val="00901B8B"/>
    <w:rsid w:val="00910281"/>
    <w:rsid w:val="00FE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D9"/>
  </w:style>
  <w:style w:type="paragraph" w:styleId="Titre3">
    <w:name w:val="heading 3"/>
    <w:basedOn w:val="Normal"/>
    <w:link w:val="Titre3Car"/>
    <w:uiPriority w:val="9"/>
    <w:qFormat/>
    <w:rsid w:val="005F40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F409F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paragraph" w:customStyle="1" w:styleId="ds-markdown-paragraph">
    <w:name w:val="ds-markdown-paragraph"/>
    <w:basedOn w:val="Normal"/>
    <w:rsid w:val="005F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409F"/>
    <w:rPr>
      <w:b/>
      <w:bCs/>
    </w:rPr>
  </w:style>
  <w:style w:type="paragraph" w:styleId="Paragraphedeliste">
    <w:name w:val="List Paragraph"/>
    <w:basedOn w:val="Normal"/>
    <w:uiPriority w:val="34"/>
    <w:qFormat/>
    <w:rsid w:val="005F4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PC-HP</cp:lastModifiedBy>
  <cp:revision>1</cp:revision>
  <dcterms:created xsi:type="dcterms:W3CDTF">2025-04-26T17:59:00Z</dcterms:created>
  <dcterms:modified xsi:type="dcterms:W3CDTF">2025-04-26T18:23:00Z</dcterms:modified>
</cp:coreProperties>
</file>