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60B1" w:rsidRPr="001760B1" w:rsidRDefault="001760B1" w:rsidP="001760B1"/>
    <w:p w:rsidR="001760B1" w:rsidRPr="0015302B" w:rsidRDefault="001760B1" w:rsidP="0015302B">
      <w:pPr>
        <w:rPr>
          <w:rFonts w:asciiTheme="majorBidi" w:hAnsiTheme="majorBidi" w:cstheme="majorBidi"/>
          <w:i/>
          <w:iCs/>
          <w:sz w:val="28"/>
          <w:szCs w:val="28"/>
          <w:u w:val="single"/>
        </w:rPr>
      </w:pPr>
      <w:r w:rsidRPr="0015302B">
        <w:rPr>
          <w:i/>
          <w:iCs/>
          <w:sz w:val="28"/>
          <w:szCs w:val="28"/>
          <w:u w:val="single"/>
        </w:rPr>
        <w:t xml:space="preserve"> </w:t>
      </w:r>
      <w:r w:rsidRPr="0015302B">
        <w:rPr>
          <w:rFonts w:asciiTheme="majorBidi" w:hAnsiTheme="majorBidi" w:cstheme="majorBidi"/>
          <w:i/>
          <w:iCs/>
          <w:sz w:val="28"/>
          <w:szCs w:val="28"/>
          <w:u w:val="single"/>
        </w:rPr>
        <w:t>Processus de la résilience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i/>
          <w:iCs/>
          <w:sz w:val="24"/>
          <w:szCs w:val="24"/>
          <w:u w:val="single"/>
        </w:rPr>
        <w:t>Etape 1</w:t>
      </w:r>
      <w:r w:rsidRPr="001760B1">
        <w:rPr>
          <w:rFonts w:asciiTheme="majorBidi" w:hAnsiTheme="majorBidi" w:cstheme="majorBidi"/>
          <w:sz w:val="24"/>
          <w:szCs w:val="24"/>
        </w:rPr>
        <w:t> : Le processus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 xml:space="preserve">Le contexte, la situation, les événements inscrivent la résilience dans le temps. Celle-ci ne s’obtient pas par décret et n’opère pas sur-le-champ. Les ingrédients de cette capacité s ’appellent, pour n’en citer que quelques-uns : résistance, émotions, défense, recherche de sens, adaptation, interactions, liens, appuis, relations, reconstruction, confiance, sentiments. Ils sont à l’œuvre dans la durée et non pas dans l’immédiateté ou l’instantané. En cela, nous y trouvons une similitude avec l’élaboration de l’engagement. C’est la raison pour laquelle il est plus adéquat de parler de parcours de résilience. En effet : Quelqu’un qui parcourt depuis de longues années un processus de résilience finit par se structurer dans une sorte de « personnalité résiliente », mais une rechute est toujours possible. La résilience est un processus par opposition à un état. Il est utile de prendre en compte l’adaptabilité ainsi que la flexibilité de l’individu, pour comprendre l’existence de la diversité des parcours de résilience.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 xml:space="preserve">Ce processus est décrit au </w:t>
      </w:r>
      <w:r w:rsidRPr="001760B1">
        <w:rPr>
          <w:rFonts w:asciiTheme="majorBidi" w:hAnsiTheme="majorBidi" w:cstheme="majorBidi"/>
          <w:b/>
          <w:bCs/>
          <w:sz w:val="24"/>
          <w:szCs w:val="24"/>
        </w:rPr>
        <w:t>niveau individuel</w:t>
      </w:r>
      <w:r w:rsidRPr="001760B1">
        <w:rPr>
          <w:rFonts w:asciiTheme="majorBidi" w:hAnsiTheme="majorBidi" w:cstheme="majorBidi"/>
          <w:sz w:val="24"/>
          <w:szCs w:val="24"/>
        </w:rPr>
        <w:t xml:space="preserve"> : La description réalisée par J. Lecomte d’une part et par E. Kübler-Ross d’autre part permet d’appréhender ce processus au niveau individuel. </w:t>
      </w:r>
      <w:r w:rsidRPr="001760B1">
        <w:rPr>
          <w:rFonts w:asciiTheme="majorBidi" w:hAnsiTheme="majorBidi" w:cstheme="majorBidi"/>
          <w:b/>
          <w:bCs/>
          <w:sz w:val="24"/>
          <w:szCs w:val="24"/>
        </w:rPr>
        <w:t xml:space="preserve">Jacques Lecmote </w:t>
      </w:r>
      <w:r w:rsidRPr="001760B1">
        <w:rPr>
          <w:rFonts w:asciiTheme="majorBidi" w:hAnsiTheme="majorBidi" w:cstheme="majorBidi"/>
          <w:sz w:val="24"/>
          <w:szCs w:val="24"/>
        </w:rPr>
        <w:t>distingue sept étapes dans le parcours de résilience, sans que toutefois celles-ci</w:t>
      </w:r>
      <w:r w:rsidRPr="001760B1">
        <w:rPr>
          <w:rFonts w:asciiTheme="majorBidi" w:hAnsiTheme="majorBidi" w:cstheme="majorBidi"/>
          <w:b/>
          <w:bCs/>
          <w:sz w:val="24"/>
          <w:szCs w:val="24"/>
        </w:rPr>
        <w:t xml:space="preserve"> </w:t>
      </w:r>
      <w:r w:rsidRPr="001760B1">
        <w:rPr>
          <w:rFonts w:asciiTheme="majorBidi" w:hAnsiTheme="majorBidi" w:cstheme="majorBidi"/>
          <w:sz w:val="24"/>
          <w:szCs w:val="24"/>
        </w:rPr>
        <w:t>soient toutes obligatoirement présentes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 xml:space="preserve">1. la résistance sous l’épreuve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2. la question pourquoi ?», suivie du pour quoi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3. le déni suivi par l’acceptation de la réalité du traumatisme</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4. les sentiments de haine, puis la sérénité</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5. la mémoire douloureuse, ensuite non douloureuse du traumatisme</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6. le temps de la plainte</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7. la sortie de la plainte</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Les travaux d’Elisabeth Kübler-Ross dégagent cinq étapes dans l’affrontement d’un changement non désiré, d’une perte, d’un deuil. Ce processus de deuils apparente à la résilience individuelle :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 xml:space="preserve">1. le choc, le déni : phase de refus de la nouvelle réalité ; les émotions semblent plus ou moins absentes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2. la colère : le sentiment de colère face à la nouvelle réalité, la réalité de la perte qui s’installe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3. le marchandage : tentative de négociation en vue de garder l’ancienne réalité</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 xml:space="preserve">4. la dépression : temps plus ou moins long de comparaison entre l’ancienne et la nouvelle réalité ; les émotions sont fort présentes pendant cette période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lastRenderedPageBreak/>
        <w:t>5. l’acceptation et l’intégration de la nouvelle réalité : la perte commence à être comprise, acceptée.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Ce processus comprend des phases et des séquences distinctes, qui s’inscrivent dans le temps. Il est cependant loin d’être linéaire. En fonction des personnes, les rythmes peuvent être différents et des retours en arrière sont possibles. Les besoins de l’endeuillé ainsi que l’aide à lui apporter sont spécifiques à chaque étape.</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i/>
          <w:iCs/>
          <w:sz w:val="24"/>
          <w:szCs w:val="24"/>
          <w:u w:val="single"/>
        </w:rPr>
        <w:t>Etape 2</w:t>
      </w:r>
      <w:r w:rsidRPr="001760B1">
        <w:rPr>
          <w:rFonts w:asciiTheme="majorBidi" w:hAnsiTheme="majorBidi" w:cstheme="majorBidi"/>
          <w:sz w:val="24"/>
          <w:szCs w:val="24"/>
        </w:rPr>
        <w:t> :  Le modèle de la « casita »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Un modèle, la casita, offre une synthèse visuelle des éléments jugés favorables à la mise en mouvement de la résilience. Casita est un terme espagnol qui signifie maisonnette ». Selon S. Vanistendael et J. Lecomte, la casita est un symbole puissant pour tous puisqu’il rappelle la maison. Le foyer offre la sécurité et rappelle les liens avec ceux qu’on aime. Chaque pièce de la maisonnette correspond à un domaine d’intervention possible. Les pièces de la casita communiquent entre elles, marquant ainsi l’interrelation entre les différents domaines. Le modèle de la casita est illustré ci-dessous.</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Nous pensons que ce modèle peut être transposé à toute organisation :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 xml:space="preserve">1. fondement : la structure organisationnelle, les signaux faibles, l’environnement externe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 xml:space="preserve">2. au rez-de-chaussée : la construction de sens, l’identité organisationnelle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 xml:space="preserve">3. au 1er étage : les aptitudes, le pouvoir hiérarchique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4. au grenier : la gestion de la continuité</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Selon Boris Cyrulnik, diverses aptitudes contribuent au processus de résilience :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1. la capacité à conserver l’espoir d’un futur meilleur, même contre toute raison.</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 xml:space="preserve">2. l’acquisition, l’imprégnation dans la mémoire des ressources internes qui se développent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 xml:space="preserve">3. la capacité à donner du sens à ce qui est vécu et qui apparaît sans aucun doute à d’autres comme difficile ou intolérable. Le terme de traumatisme peut paraitre fort, cependant il n’y a pas de barème son intensité sera intrinsèquement liée à l’individu, aux circonstances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 xml:space="preserve">4. la structure sécurisante ou non de l’environnement de la personne.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5. la capacité à saisir et à reconnaître une main tendue</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i/>
          <w:iCs/>
          <w:sz w:val="24"/>
          <w:szCs w:val="24"/>
          <w:u w:val="single"/>
        </w:rPr>
        <w:t>Etape 3 :</w:t>
      </w:r>
      <w:r w:rsidRPr="001760B1">
        <w:rPr>
          <w:rFonts w:asciiTheme="majorBidi" w:hAnsiTheme="majorBidi" w:cstheme="majorBidi"/>
          <w:sz w:val="24"/>
          <w:szCs w:val="24"/>
        </w:rPr>
        <w:t xml:space="preserve"> L’acquisition de la résilience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Plusieurs auteurs, tels Cyrulnik, Vanistendael, Lecomte, Hanus 73, Poletti et Dobbs, S’accordent à dire que la résilience n’est jamais définitivement acquise. Elle est une capacité qui résulte d’un processus dynamique évolutif au cours duquel l’importance d’un traumatisme peut dépasser les ressources du sujet. Les circonstances, les contextes, la nature des agressions et les étapes de la vie exercent une influence sur la capacité de résilience. C’est pourquoi nous parlons de « trajectoires de la résilience ». Pour Poletti et Dobbs, « la résilience est une capacité humaine fondamentale. Tous les individus ont le pouvoir de se transformer et de transformer leur réalité à condition de trouver en eux et autour d’eux les éléments qui leur permettent de créer cette capacité de résilience. ». La résilience fait appel aux forces de chacun, à ses ressources et à sa capacité de saisir les ressources de son environnement.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i/>
          <w:iCs/>
          <w:sz w:val="24"/>
          <w:szCs w:val="24"/>
          <w:u w:val="single"/>
        </w:rPr>
        <w:t>Etape 4 :</w:t>
      </w:r>
      <w:r w:rsidRPr="001760B1">
        <w:rPr>
          <w:rFonts w:asciiTheme="majorBidi" w:hAnsiTheme="majorBidi" w:cstheme="majorBidi"/>
          <w:sz w:val="24"/>
          <w:szCs w:val="24"/>
        </w:rPr>
        <w:t xml:space="preserve"> Les trois facteurs principaux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 xml:space="preserve">Les chercheurs s’accordent à distinguer trois groupes de facteurs qui permettent D’affronter les situations totalement nouvelles : </w:t>
      </w:r>
    </w:p>
    <w:p w:rsidR="001760B1" w:rsidRPr="0015302B" w:rsidRDefault="001760B1" w:rsidP="0015302B">
      <w:pPr>
        <w:numPr>
          <w:ilvl w:val="0"/>
          <w:numId w:val="1"/>
        </w:numPr>
        <w:rPr>
          <w:rFonts w:asciiTheme="majorBidi" w:hAnsiTheme="majorBidi" w:cstheme="majorBidi"/>
          <w:sz w:val="24"/>
          <w:szCs w:val="24"/>
        </w:rPr>
      </w:pPr>
      <w:r w:rsidRPr="001760B1">
        <w:rPr>
          <w:rFonts w:asciiTheme="majorBidi" w:hAnsiTheme="majorBidi" w:cstheme="majorBidi"/>
          <w:sz w:val="24"/>
          <w:szCs w:val="24"/>
        </w:rPr>
        <w:t>Les facteurs individuels : concernent les traits de personnalité tels l'optimisme, la</w:t>
      </w:r>
      <w:r w:rsidR="0015302B">
        <w:rPr>
          <w:rFonts w:asciiTheme="majorBidi" w:hAnsiTheme="majorBidi" w:cstheme="majorBidi"/>
          <w:sz w:val="24"/>
          <w:szCs w:val="24"/>
        </w:rPr>
        <w:t xml:space="preserve"> </w:t>
      </w:r>
      <w:r w:rsidRPr="0015302B">
        <w:rPr>
          <w:rFonts w:asciiTheme="majorBidi" w:hAnsiTheme="majorBidi" w:cstheme="majorBidi"/>
          <w:sz w:val="24"/>
          <w:szCs w:val="24"/>
        </w:rPr>
        <w:t>confiance en soi, l’humour, la sociabilité, l’empathie, bref, les caractéristiques</w:t>
      </w:r>
      <w:r w:rsidR="0015302B">
        <w:rPr>
          <w:rFonts w:asciiTheme="majorBidi" w:hAnsiTheme="majorBidi" w:cstheme="majorBidi"/>
          <w:sz w:val="24"/>
          <w:szCs w:val="24"/>
        </w:rPr>
        <w:t xml:space="preserve"> </w:t>
      </w:r>
      <w:r w:rsidRPr="0015302B">
        <w:rPr>
          <w:rFonts w:asciiTheme="majorBidi" w:hAnsiTheme="majorBidi" w:cstheme="majorBidi"/>
          <w:sz w:val="24"/>
          <w:szCs w:val="24"/>
        </w:rPr>
        <w:t xml:space="preserve">permettant, de manière générale, de prendre une certaine distance face aux événements </w:t>
      </w:r>
    </w:p>
    <w:p w:rsidR="001760B1" w:rsidRPr="0015302B" w:rsidRDefault="001760B1" w:rsidP="0015302B">
      <w:pPr>
        <w:numPr>
          <w:ilvl w:val="0"/>
          <w:numId w:val="1"/>
        </w:numPr>
        <w:rPr>
          <w:rFonts w:asciiTheme="majorBidi" w:hAnsiTheme="majorBidi" w:cstheme="majorBidi"/>
          <w:sz w:val="24"/>
          <w:szCs w:val="24"/>
        </w:rPr>
      </w:pPr>
      <w:r w:rsidRPr="001760B1">
        <w:rPr>
          <w:rFonts w:asciiTheme="majorBidi" w:hAnsiTheme="majorBidi" w:cstheme="majorBidi"/>
          <w:sz w:val="24"/>
          <w:szCs w:val="24"/>
        </w:rPr>
        <w:t xml:space="preserve">Les facteurs de proximité : </w:t>
      </w:r>
      <w:r w:rsidRPr="0015302B">
        <w:rPr>
          <w:rFonts w:asciiTheme="majorBidi" w:hAnsiTheme="majorBidi" w:cstheme="majorBidi"/>
          <w:sz w:val="24"/>
          <w:szCs w:val="24"/>
        </w:rPr>
        <w:t xml:space="preserve"> bénéficier d’un solide soutien familial </w:t>
      </w:r>
    </w:p>
    <w:p w:rsidR="001760B1" w:rsidRPr="0015302B" w:rsidRDefault="001760B1" w:rsidP="0015302B">
      <w:pPr>
        <w:numPr>
          <w:ilvl w:val="0"/>
          <w:numId w:val="2"/>
        </w:numPr>
        <w:rPr>
          <w:rFonts w:asciiTheme="majorBidi" w:hAnsiTheme="majorBidi" w:cstheme="majorBidi"/>
          <w:sz w:val="24"/>
          <w:szCs w:val="24"/>
        </w:rPr>
      </w:pPr>
      <w:r w:rsidRPr="001760B1">
        <w:rPr>
          <w:rFonts w:asciiTheme="majorBidi" w:hAnsiTheme="majorBidi" w:cstheme="majorBidi"/>
          <w:sz w:val="24"/>
          <w:szCs w:val="24"/>
        </w:rPr>
        <w:t>Les facteurs ambiants ou environnementaux : comme le soutien de personnes</w:t>
      </w:r>
      <w:r w:rsidR="0015302B">
        <w:rPr>
          <w:rFonts w:asciiTheme="majorBidi" w:hAnsiTheme="majorBidi" w:cstheme="majorBidi"/>
          <w:sz w:val="24"/>
          <w:szCs w:val="24"/>
        </w:rPr>
        <w:t> ,</w:t>
      </w:r>
      <w:r w:rsidRPr="0015302B">
        <w:rPr>
          <w:rFonts w:asciiTheme="majorBidi" w:hAnsiTheme="majorBidi" w:cstheme="majorBidi"/>
          <w:sz w:val="24"/>
          <w:szCs w:val="24"/>
        </w:rPr>
        <w:t>hors du cercle familial ainsi que la présence d’institutions ou d’organismes favorisant l’entraide, l’autonomie et la solidarité</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Parmi les facteurs ambiants, nous avons : </w:t>
      </w:r>
    </w:p>
    <w:p w:rsidR="001760B1" w:rsidRPr="001760B1" w:rsidRDefault="001760B1" w:rsidP="001760B1">
      <w:pPr>
        <w:numPr>
          <w:ilvl w:val="0"/>
          <w:numId w:val="3"/>
        </w:numPr>
        <w:rPr>
          <w:rFonts w:asciiTheme="majorBidi" w:hAnsiTheme="majorBidi" w:cstheme="majorBidi"/>
          <w:sz w:val="24"/>
          <w:szCs w:val="24"/>
        </w:rPr>
      </w:pPr>
      <w:r w:rsidRPr="001760B1">
        <w:rPr>
          <w:rFonts w:asciiTheme="majorBidi" w:hAnsiTheme="majorBidi" w:cstheme="majorBidi"/>
          <w:sz w:val="24"/>
          <w:szCs w:val="24"/>
        </w:rPr>
        <w:t xml:space="preserve">Les facteurs liés à l’environnement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-la conscience d’un besoin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 xml:space="preserve">-la motivation intrinsèque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 xml:space="preserve">-la flexibilité et la capacité d’adaptation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-la cohésion sociale préexistante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 xml:space="preserve">-la capacité de discuter, d’atteindre un consensus et de coopérer </w:t>
      </w:r>
    </w:p>
    <w:p w:rsidR="001760B1" w:rsidRPr="001760B1" w:rsidRDefault="001760B1" w:rsidP="001760B1">
      <w:pPr>
        <w:numPr>
          <w:ilvl w:val="0"/>
          <w:numId w:val="3"/>
        </w:numPr>
        <w:rPr>
          <w:rFonts w:asciiTheme="majorBidi" w:hAnsiTheme="majorBidi" w:cstheme="majorBidi"/>
          <w:sz w:val="24"/>
          <w:szCs w:val="24"/>
        </w:rPr>
      </w:pPr>
      <w:r w:rsidRPr="001760B1">
        <w:rPr>
          <w:rFonts w:asciiTheme="majorBidi" w:hAnsiTheme="majorBidi" w:cstheme="majorBidi"/>
          <w:sz w:val="24"/>
          <w:szCs w:val="24"/>
        </w:rPr>
        <w:t>Les facteurs liés au processus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 xml:space="preserve">_ une large participation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 xml:space="preserve">-un bon système de communication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 xml:space="preserve">-une concurrence minimale entre les groupes d’intervenants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 xml:space="preserve">-une perception juste de la collectivité </w:t>
      </w:r>
    </w:p>
    <w:p w:rsidR="001760B1" w:rsidRPr="001760B1" w:rsidRDefault="001760B1" w:rsidP="001760B1">
      <w:pPr>
        <w:rPr>
          <w:rFonts w:asciiTheme="majorBidi" w:hAnsiTheme="majorBidi" w:cstheme="majorBidi"/>
          <w:sz w:val="24"/>
          <w:szCs w:val="24"/>
        </w:rPr>
      </w:pPr>
      <w:r w:rsidRPr="001760B1">
        <w:rPr>
          <w:rFonts w:asciiTheme="majorBidi" w:hAnsiTheme="majorBidi" w:cstheme="majorBidi"/>
          <w:sz w:val="24"/>
          <w:szCs w:val="24"/>
        </w:rPr>
        <w:t xml:space="preserve">-des bénéfices possibles pour la majorité des individus </w:t>
      </w:r>
    </w:p>
    <w:p w:rsidR="00E21520" w:rsidRDefault="001760B1" w:rsidP="001760B1">
      <w:r w:rsidRPr="001760B1">
        <w:rPr>
          <w:rFonts w:asciiTheme="majorBidi" w:hAnsiTheme="majorBidi" w:cstheme="majorBidi"/>
          <w:sz w:val="24"/>
          <w:szCs w:val="24"/>
        </w:rPr>
        <w:t>-des liens avec d’autres organisa</w:t>
      </w:r>
      <w:r w:rsidRPr="001760B1">
        <w:t>tions</w:t>
      </w:r>
    </w:p>
    <w:sectPr w:rsidR="00E21520" w:rsidSect="00233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D62"/>
    <w:multiLevelType w:val="hybridMultilevel"/>
    <w:tmpl w:val="1BB07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D50289"/>
    <w:multiLevelType w:val="hybridMultilevel"/>
    <w:tmpl w:val="72E066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EC34345"/>
    <w:multiLevelType w:val="hybridMultilevel"/>
    <w:tmpl w:val="8C1A512A"/>
    <w:lvl w:ilvl="0" w:tplc="B748D5E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5249717">
    <w:abstractNumId w:val="0"/>
  </w:num>
  <w:num w:numId="2" w16cid:durableId="1517572563">
    <w:abstractNumId w:val="2"/>
  </w:num>
  <w:num w:numId="3" w16cid:durableId="856390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B1"/>
    <w:rsid w:val="0015302B"/>
    <w:rsid w:val="001760B1"/>
    <w:rsid w:val="00233A44"/>
    <w:rsid w:val="00394359"/>
    <w:rsid w:val="00A32607"/>
    <w:rsid w:val="00E21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7DF6C"/>
  <w15:chartTrackingRefBased/>
  <w15:docId w15:val="{399F7638-27FF-4028-84F8-60C1285E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760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760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760B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760B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760B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760B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60B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60B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60B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60B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760B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760B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760B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760B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760B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60B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60B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60B1"/>
    <w:rPr>
      <w:rFonts w:eastAsiaTheme="majorEastAsia" w:cstheme="majorBidi"/>
      <w:color w:val="272727" w:themeColor="text1" w:themeTint="D8"/>
    </w:rPr>
  </w:style>
  <w:style w:type="paragraph" w:styleId="Titre">
    <w:name w:val="Title"/>
    <w:basedOn w:val="Normal"/>
    <w:next w:val="Normal"/>
    <w:link w:val="TitreCar"/>
    <w:uiPriority w:val="10"/>
    <w:qFormat/>
    <w:rsid w:val="00176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60B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60B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60B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60B1"/>
    <w:pPr>
      <w:spacing w:before="160"/>
      <w:jc w:val="center"/>
    </w:pPr>
    <w:rPr>
      <w:i/>
      <w:iCs/>
      <w:color w:val="404040" w:themeColor="text1" w:themeTint="BF"/>
    </w:rPr>
  </w:style>
  <w:style w:type="character" w:customStyle="1" w:styleId="CitationCar">
    <w:name w:val="Citation Car"/>
    <w:basedOn w:val="Policepardfaut"/>
    <w:link w:val="Citation"/>
    <w:uiPriority w:val="29"/>
    <w:rsid w:val="001760B1"/>
    <w:rPr>
      <w:i/>
      <w:iCs/>
      <w:color w:val="404040" w:themeColor="text1" w:themeTint="BF"/>
    </w:rPr>
  </w:style>
  <w:style w:type="paragraph" w:styleId="Paragraphedeliste">
    <w:name w:val="List Paragraph"/>
    <w:basedOn w:val="Normal"/>
    <w:uiPriority w:val="34"/>
    <w:qFormat/>
    <w:rsid w:val="001760B1"/>
    <w:pPr>
      <w:ind w:left="720"/>
      <w:contextualSpacing/>
    </w:pPr>
  </w:style>
  <w:style w:type="character" w:styleId="Accentuationintense">
    <w:name w:val="Intense Emphasis"/>
    <w:basedOn w:val="Policepardfaut"/>
    <w:uiPriority w:val="21"/>
    <w:qFormat/>
    <w:rsid w:val="001760B1"/>
    <w:rPr>
      <w:i/>
      <w:iCs/>
      <w:color w:val="2F5496" w:themeColor="accent1" w:themeShade="BF"/>
    </w:rPr>
  </w:style>
  <w:style w:type="paragraph" w:styleId="Citationintense">
    <w:name w:val="Intense Quote"/>
    <w:basedOn w:val="Normal"/>
    <w:next w:val="Normal"/>
    <w:link w:val="CitationintenseCar"/>
    <w:uiPriority w:val="30"/>
    <w:qFormat/>
    <w:rsid w:val="001760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760B1"/>
    <w:rPr>
      <w:i/>
      <w:iCs/>
      <w:color w:val="2F5496" w:themeColor="accent1" w:themeShade="BF"/>
    </w:rPr>
  </w:style>
  <w:style w:type="character" w:styleId="Rfrenceintense">
    <w:name w:val="Intense Reference"/>
    <w:basedOn w:val="Policepardfaut"/>
    <w:uiPriority w:val="32"/>
    <w:qFormat/>
    <w:rsid w:val="001760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1031</Words>
  <Characters>5673</Characters>
  <Application>Microsoft Office Word</Application>
  <DocSecurity>0</DocSecurity>
  <Lines>47</Lines>
  <Paragraphs>13</Paragraphs>
  <ScaleCrop>false</ScaleCrop>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merabtine</dc:creator>
  <cp:keywords/>
  <dc:description/>
  <cp:lastModifiedBy>salim merabtine</cp:lastModifiedBy>
  <cp:revision>2</cp:revision>
  <dcterms:created xsi:type="dcterms:W3CDTF">2025-11-27T10:35:00Z</dcterms:created>
  <dcterms:modified xsi:type="dcterms:W3CDTF">2025-11-29T09:06:00Z</dcterms:modified>
</cp:coreProperties>
</file>