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411E" w:rsidRPr="00AB411E" w:rsidRDefault="00AB411E" w:rsidP="00AB411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noProof/>
          <w:sz w:val="32"/>
          <w:szCs w:val="32"/>
          <w:lang w:eastAsia="fr-FR"/>
        </w:rPr>
      </w:pPr>
      <w:r w:rsidRPr="00AB411E">
        <w:rPr>
          <w:rFonts w:ascii="Times New Roman" w:eastAsia="Times New Roman" w:hAnsi="Times New Roman" w:cs="Times New Roman"/>
          <w:b/>
          <w:bCs/>
          <w:noProof/>
          <w:sz w:val="32"/>
          <w:szCs w:val="32"/>
          <w:lang w:eastAsia="fr-FR"/>
        </w:rPr>
        <w:t>EGYPTE ANTIQUE</w:t>
      </w:r>
    </w:p>
    <w:p w:rsidR="00AB411E" w:rsidRDefault="00AB411E" w:rsidP="00AB411E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eastAsia="fr-FR"/>
        </w:rPr>
      </w:pPr>
    </w:p>
    <w:p w:rsidR="00AB411E" w:rsidRPr="00AB411E" w:rsidRDefault="00AB411E" w:rsidP="00C7406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fr-FR"/>
        </w:rPr>
      </w:pPr>
      <w:r w:rsidRPr="00AB411E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fr-FR"/>
        </w:rPr>
        <w:t>I. Introduction générale</w:t>
      </w:r>
      <w:r w:rsidRPr="00AB411E">
        <w:rPr>
          <w:rFonts w:ascii="Times New Roman" w:eastAsia="Times New Roman" w:hAnsi="Times New Roman" w:cs="Times New Roman"/>
          <w:b/>
          <w:bCs/>
          <w:sz w:val="28"/>
          <w:szCs w:val="28"/>
          <w:lang w:eastAsia="fr-FR"/>
        </w:rPr>
        <w:t xml:space="preserve"> — contexte et singularité de la civilisation</w:t>
      </w:r>
    </w:p>
    <w:p w:rsidR="00AB411E" w:rsidRPr="00AB411E" w:rsidRDefault="00AB411E" w:rsidP="00AB411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AB411E">
        <w:rPr>
          <w:rFonts w:ascii="Times New Roman" w:eastAsia="Times New Roman" w:hAnsi="Times New Roman" w:cs="Times New Roman"/>
          <w:sz w:val="24"/>
          <w:szCs w:val="24"/>
          <w:lang w:eastAsia="fr-FR"/>
        </w:rPr>
        <w:t>L’Égypte antique se distingue par :</w:t>
      </w:r>
    </w:p>
    <w:p w:rsidR="00AB411E" w:rsidRPr="00AB411E" w:rsidRDefault="00AB411E" w:rsidP="00AB411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AB411E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Sa durée inégalée :</w:t>
      </w:r>
      <w:r w:rsidRPr="00AB411E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plus de 30 siècles, alors que la plupart des civilisations s’effondrent en quelques siècles.</w:t>
      </w:r>
    </w:p>
    <w:p w:rsidR="00AB411E" w:rsidRPr="00AB411E" w:rsidRDefault="00AB411E" w:rsidP="00AB411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AB411E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Sa continuité culturelle :</w:t>
      </w:r>
      <w:r w:rsidRPr="00AB411E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mêmes dieux, même langue, mêmes traditions religieuses malgré guerres et invasions.</w:t>
      </w:r>
    </w:p>
    <w:p w:rsidR="00AB411E" w:rsidRPr="00AB411E" w:rsidRDefault="00AB411E" w:rsidP="00AB411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AB411E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Sa stabilité politique :</w:t>
      </w:r>
      <w:r w:rsidRPr="00AB411E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dirigée par une succession de pharaons divinisés, ce qui limitait les révoltes internes.</w:t>
      </w:r>
    </w:p>
    <w:p w:rsidR="00AB411E" w:rsidRPr="00AB411E" w:rsidRDefault="00AB411E" w:rsidP="00AB411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AB411E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Son isolement naturel :</w:t>
      </w:r>
      <w:r w:rsidRPr="00AB411E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désert à l’est et à l’ouest, mer Méditerranée au nord, cataractes du Nil au sud → protection contre les invasions.</w:t>
      </w:r>
    </w:p>
    <w:p w:rsidR="00AB411E" w:rsidRPr="00AB411E" w:rsidRDefault="00AB411E" w:rsidP="00AB411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AB411E">
        <w:rPr>
          <w:rFonts w:ascii="Times New Roman" w:eastAsia="Times New Roman" w:hAnsi="Times New Roman" w:cs="Times New Roman"/>
          <w:sz w:val="24"/>
          <w:szCs w:val="24"/>
          <w:lang w:eastAsia="fr-FR"/>
        </w:rPr>
        <w:t>Ce cadre explique pourquoi l’Égypte a pu développer un système d’État fortement centralisé et une culture raffinée.</w:t>
      </w:r>
    </w:p>
    <w:p w:rsidR="00AB411E" w:rsidRPr="00AB411E" w:rsidRDefault="00AB411E" w:rsidP="00AB411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AB411E" w:rsidRPr="00AB411E" w:rsidRDefault="00AB411E" w:rsidP="00AB411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fr-FR"/>
        </w:rPr>
      </w:pPr>
      <w:r w:rsidRPr="00AB411E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fr-FR"/>
        </w:rPr>
        <w:t>II. Le Nil et la structuration territoriale</w:t>
      </w:r>
    </w:p>
    <w:p w:rsidR="00AB411E" w:rsidRPr="00AB411E" w:rsidRDefault="00AB411E" w:rsidP="00AB411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</w:pPr>
      <w:r w:rsidRPr="00AB411E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1) Le Nil : moteur économique et religieux</w:t>
      </w:r>
    </w:p>
    <w:p w:rsidR="00AB411E" w:rsidRPr="00AB411E" w:rsidRDefault="00AB411E" w:rsidP="00AB411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AB411E">
        <w:rPr>
          <w:rFonts w:ascii="Times New Roman" w:eastAsia="Times New Roman" w:hAnsi="Times New Roman" w:cs="Times New Roman"/>
          <w:sz w:val="24"/>
          <w:szCs w:val="24"/>
          <w:lang w:eastAsia="fr-FR"/>
        </w:rPr>
        <w:t>Le cycle des crues (juillet-octobre), semailles (novembre-février), récoltes (mars-juin) structure la vie sociale.</w:t>
      </w:r>
    </w:p>
    <w:p w:rsidR="00AB411E" w:rsidRPr="00AB411E" w:rsidRDefault="00AB411E" w:rsidP="00AB411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AB411E">
        <w:rPr>
          <w:rFonts w:ascii="Times New Roman" w:eastAsia="Times New Roman" w:hAnsi="Times New Roman" w:cs="Times New Roman"/>
          <w:sz w:val="24"/>
          <w:szCs w:val="24"/>
          <w:lang w:eastAsia="fr-FR"/>
        </w:rPr>
        <w:t>Naissance du calendrier civil de 365 jours basé sur la crue du Nil.</w:t>
      </w:r>
    </w:p>
    <w:p w:rsidR="00AB411E" w:rsidRPr="00AB411E" w:rsidRDefault="00AB411E" w:rsidP="00AB411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AB411E">
        <w:rPr>
          <w:rFonts w:ascii="Times New Roman" w:eastAsia="Times New Roman" w:hAnsi="Times New Roman" w:cs="Times New Roman"/>
          <w:sz w:val="24"/>
          <w:szCs w:val="24"/>
          <w:lang w:eastAsia="fr-FR"/>
        </w:rPr>
        <w:t>Le Nil est aussi un axe de communication (transport des pierres, denrées, armées).</w:t>
      </w:r>
    </w:p>
    <w:p w:rsidR="00AB411E" w:rsidRPr="00AB411E" w:rsidRDefault="00AB411E" w:rsidP="00AB411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AB411E">
        <w:rPr>
          <w:rFonts w:ascii="Times New Roman" w:eastAsia="Times New Roman" w:hAnsi="Times New Roman" w:cs="Times New Roman"/>
          <w:sz w:val="24"/>
          <w:szCs w:val="24"/>
          <w:lang w:eastAsia="fr-FR"/>
        </w:rPr>
        <w:t>Les crues sont perçues comme un don divin du dieu Hâpy → religion et agriculture étroitement liées.</w:t>
      </w:r>
    </w:p>
    <w:p w:rsidR="00AB411E" w:rsidRPr="00AB411E" w:rsidRDefault="00AB411E" w:rsidP="00AB411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AB411E" w:rsidRPr="00AB411E" w:rsidRDefault="00AB411E" w:rsidP="00AB411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</w:pPr>
      <w:r w:rsidRPr="00AB411E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2) Haute et Basse Égypte</w:t>
      </w:r>
    </w:p>
    <w:p w:rsidR="00AB411E" w:rsidRPr="00AB411E" w:rsidRDefault="00AB411E" w:rsidP="00AB411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AB411E">
        <w:rPr>
          <w:rFonts w:ascii="Times New Roman" w:eastAsia="Times New Roman" w:hAnsi="Times New Roman" w:cs="Times New Roman"/>
          <w:sz w:val="24"/>
          <w:szCs w:val="24"/>
          <w:lang w:eastAsia="fr-FR"/>
        </w:rPr>
        <w:t>La dualité est représentée symboliquement sur la couronne du pharaon (double couronne : blanche + rouge).</w:t>
      </w:r>
    </w:p>
    <w:p w:rsidR="00AB411E" w:rsidRPr="00AB411E" w:rsidRDefault="00AB411E" w:rsidP="00AB411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AB411E">
        <w:rPr>
          <w:rFonts w:ascii="Times New Roman" w:eastAsia="Times New Roman" w:hAnsi="Times New Roman" w:cs="Times New Roman"/>
          <w:sz w:val="24"/>
          <w:szCs w:val="24"/>
          <w:lang w:eastAsia="fr-FR"/>
        </w:rPr>
        <w:t>L’unification politique précoce permit la centralisation des ressources agricoles, donc la construction de grands travaux.</w:t>
      </w:r>
    </w:p>
    <w:p w:rsidR="00AB411E" w:rsidRPr="00AB411E" w:rsidRDefault="00AB411E" w:rsidP="00AB411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AB411E" w:rsidRPr="00AB411E" w:rsidRDefault="00AB411E" w:rsidP="00AB411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fr-FR"/>
        </w:rPr>
      </w:pPr>
      <w:r w:rsidRPr="00AB411E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fr-FR"/>
        </w:rPr>
        <w:t>III. Les grandes périodes historiques</w:t>
      </w:r>
      <w:r w:rsidR="00C74060" w:rsidRPr="00C74060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fr-FR"/>
        </w:rPr>
        <w:t> :</w:t>
      </w:r>
    </w:p>
    <w:p w:rsidR="00AB411E" w:rsidRPr="00AB411E" w:rsidRDefault="00AB411E" w:rsidP="00AB411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AB411E" w:rsidRPr="00AB411E" w:rsidRDefault="00AB411E" w:rsidP="00AB411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</w:pPr>
      <w:r w:rsidRPr="00AB411E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1) Période prédynastique (-5000 à -3100) : formation progressive de l’État</w:t>
      </w:r>
    </w:p>
    <w:p w:rsidR="00AB411E" w:rsidRPr="00AB411E" w:rsidRDefault="00AB411E" w:rsidP="00AB411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AB411E">
        <w:rPr>
          <w:rFonts w:ascii="Times New Roman" w:eastAsia="Times New Roman" w:hAnsi="Times New Roman" w:cs="Times New Roman"/>
          <w:sz w:val="24"/>
          <w:szCs w:val="24"/>
          <w:lang w:eastAsia="fr-FR"/>
        </w:rPr>
        <w:t>Émergence de chefferies locales (Naqada, Abydos, Hiérakonpolis).</w:t>
      </w:r>
    </w:p>
    <w:p w:rsidR="00AB411E" w:rsidRPr="00AB411E" w:rsidRDefault="00AB411E" w:rsidP="00AB411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AB411E">
        <w:rPr>
          <w:rFonts w:ascii="Times New Roman" w:eastAsia="Times New Roman" w:hAnsi="Times New Roman" w:cs="Times New Roman"/>
          <w:sz w:val="24"/>
          <w:szCs w:val="24"/>
          <w:lang w:eastAsia="fr-FR"/>
        </w:rPr>
        <w:t>Début de l’art funéraire, poterie fine, premiers hiéroglyphes.</w:t>
      </w:r>
    </w:p>
    <w:p w:rsidR="00AB411E" w:rsidRPr="00AB411E" w:rsidRDefault="00AB411E" w:rsidP="00AB411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AB411E">
        <w:rPr>
          <w:rFonts w:ascii="Times New Roman" w:eastAsia="Times New Roman" w:hAnsi="Times New Roman" w:cs="Times New Roman"/>
          <w:sz w:val="24"/>
          <w:szCs w:val="24"/>
          <w:lang w:eastAsia="fr-FR"/>
        </w:rPr>
        <w:t>Vers -3100 : Narmer/Ménès réalise l’unification → naissance de l’État pharaonique.</w:t>
      </w:r>
    </w:p>
    <w:p w:rsidR="00AB411E" w:rsidRPr="00AB411E" w:rsidRDefault="00AB411E" w:rsidP="00AB411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AB411E" w:rsidRPr="00AB411E" w:rsidRDefault="00AB411E" w:rsidP="00AB411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</w:pPr>
      <w:r w:rsidRPr="00AB411E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2) Ancien Empire (-2700 à -2200) — l’âge des pyramides</w:t>
      </w:r>
    </w:p>
    <w:p w:rsidR="00AB411E" w:rsidRPr="00AB411E" w:rsidRDefault="00AB411E" w:rsidP="00AB411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AB411E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Capitale :</w:t>
      </w:r>
      <w:r w:rsidRPr="00AB411E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Memphis</w:t>
      </w:r>
    </w:p>
    <w:p w:rsidR="00AB411E" w:rsidRPr="00AB411E" w:rsidRDefault="00AB411E" w:rsidP="00AB411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</w:pPr>
      <w:r w:rsidRPr="00AB411E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Construction de monuments à fonction funéraire :</w:t>
      </w:r>
    </w:p>
    <w:p w:rsidR="00AB411E" w:rsidRPr="00AB411E" w:rsidRDefault="00AB411E" w:rsidP="00AB411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AB411E">
        <w:rPr>
          <w:rFonts w:ascii="Times New Roman" w:eastAsia="Times New Roman" w:hAnsi="Times New Roman" w:cs="Times New Roman"/>
          <w:sz w:val="24"/>
          <w:szCs w:val="24"/>
          <w:lang w:eastAsia="fr-FR"/>
        </w:rPr>
        <w:t>Pyramide à degrés de Djoser (Saqqarah).</w:t>
      </w:r>
    </w:p>
    <w:p w:rsidR="00AB411E" w:rsidRPr="00AB411E" w:rsidRDefault="00AB411E" w:rsidP="00AB411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AB411E">
        <w:rPr>
          <w:rFonts w:ascii="Times New Roman" w:eastAsia="Times New Roman" w:hAnsi="Times New Roman" w:cs="Times New Roman"/>
          <w:sz w:val="24"/>
          <w:szCs w:val="24"/>
          <w:lang w:eastAsia="fr-FR"/>
        </w:rPr>
        <w:t>Grande pyramide de Khéops, celle de Khéphren et Mykérinos à Gizeh.</w:t>
      </w:r>
    </w:p>
    <w:p w:rsidR="00AB411E" w:rsidRPr="00AB411E" w:rsidRDefault="00AB411E" w:rsidP="00AB411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AB411E">
        <w:rPr>
          <w:rFonts w:ascii="Times New Roman" w:eastAsia="Times New Roman" w:hAnsi="Times New Roman" w:cs="Times New Roman"/>
          <w:sz w:val="24"/>
          <w:szCs w:val="24"/>
          <w:lang w:eastAsia="fr-FR"/>
        </w:rPr>
        <w:t>Le pharaon est vu comme incarnation du dieu Rê : monarchie sacrée absolue.</w:t>
      </w:r>
    </w:p>
    <w:p w:rsidR="00AB411E" w:rsidRPr="00AB411E" w:rsidRDefault="00AB411E" w:rsidP="00AB411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AB411E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Économie :</w:t>
      </w:r>
      <w:r w:rsidRPr="00AB411E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agriculture prospère, corvée organisée pour travaux monumentaux.</w:t>
      </w:r>
    </w:p>
    <w:p w:rsidR="00AB411E" w:rsidRPr="00AB411E" w:rsidRDefault="00AB411E" w:rsidP="00AB411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AB411E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Déclin :</w:t>
      </w:r>
      <w:r w:rsidRPr="00AB411E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famine, sécheresses, montée des gouverneurs provinciaux → fragmentation du pouvoir.</w:t>
      </w:r>
    </w:p>
    <w:p w:rsidR="00AB411E" w:rsidRPr="00AB411E" w:rsidRDefault="00AB411E" w:rsidP="00AB411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AB411E" w:rsidRPr="00AB411E" w:rsidRDefault="00AB411E" w:rsidP="003B405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</w:pPr>
      <w:r w:rsidRPr="00AB411E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3) Moyen Empire (-2050 à -1750) — renaissance politique et culturelle</w:t>
      </w:r>
    </w:p>
    <w:p w:rsidR="00AB411E" w:rsidRPr="00AB411E" w:rsidRDefault="00AB411E" w:rsidP="003B405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AB411E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Capitale :</w:t>
      </w:r>
      <w:r w:rsidRPr="00AB411E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Thèbes</w:t>
      </w:r>
    </w:p>
    <w:p w:rsidR="00AB411E" w:rsidRPr="00AB411E" w:rsidRDefault="00AB411E" w:rsidP="003B405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AB411E">
        <w:rPr>
          <w:rFonts w:ascii="Times New Roman" w:eastAsia="Times New Roman" w:hAnsi="Times New Roman" w:cs="Times New Roman"/>
          <w:sz w:val="24"/>
          <w:szCs w:val="24"/>
          <w:lang w:eastAsia="fr-FR"/>
        </w:rPr>
        <w:t>Le roi Mentouhotep II reunifie le pays → retour de la stabilité.</w:t>
      </w:r>
    </w:p>
    <w:p w:rsidR="00AB411E" w:rsidRPr="00AB411E" w:rsidRDefault="00AB411E" w:rsidP="004B7EB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AB411E">
        <w:rPr>
          <w:rFonts w:ascii="Times New Roman" w:eastAsia="Times New Roman" w:hAnsi="Times New Roman" w:cs="Times New Roman"/>
          <w:sz w:val="24"/>
          <w:szCs w:val="24"/>
          <w:lang w:eastAsia="fr-FR"/>
        </w:rPr>
        <w:t>Grandes campagnes en Nubie pour contrôler l’or, l’ivoire et le commerce.</w:t>
      </w:r>
      <w:r w:rsidR="004B7EB2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r w:rsidRPr="00AB411E">
        <w:rPr>
          <w:rFonts w:ascii="Times New Roman" w:eastAsia="Times New Roman" w:hAnsi="Times New Roman" w:cs="Times New Roman"/>
          <w:sz w:val="24"/>
          <w:szCs w:val="24"/>
          <w:lang w:eastAsia="fr-FR"/>
        </w:rPr>
        <w:t>Développement de la littérature (sagesses, histoires, hymnes).</w:t>
      </w:r>
      <w:r w:rsidR="004B7EB2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r w:rsidRPr="00AB411E">
        <w:rPr>
          <w:rFonts w:ascii="Times New Roman" w:eastAsia="Times New Roman" w:hAnsi="Times New Roman" w:cs="Times New Roman"/>
          <w:sz w:val="24"/>
          <w:szCs w:val="24"/>
          <w:lang w:eastAsia="fr-FR"/>
        </w:rPr>
        <w:t>Administration plus structurée → montée du rôle des scribes.</w:t>
      </w:r>
    </w:p>
    <w:p w:rsidR="00AB411E" w:rsidRPr="00AB411E" w:rsidRDefault="00AB411E" w:rsidP="00AB411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AB411E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Fin :</w:t>
      </w:r>
      <w:r w:rsidRPr="00AB411E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invasion progressive des Hyksôs (peuple sémite venu du Levant), qui introduisent le cheval et le char de guerre.</w:t>
      </w:r>
    </w:p>
    <w:p w:rsidR="003B4050" w:rsidRPr="00AB411E" w:rsidRDefault="003B4050" w:rsidP="00AB411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AB411E" w:rsidRPr="00AB411E" w:rsidRDefault="00AB411E" w:rsidP="003B405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</w:pPr>
      <w:r w:rsidRPr="00AB411E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4) Nouvel Empire (-1550 à -1070) — l’apogée impériale</w:t>
      </w:r>
    </w:p>
    <w:p w:rsidR="00AB411E" w:rsidRPr="00AB411E" w:rsidRDefault="00AB411E" w:rsidP="003B405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AB411E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Capitale :</w:t>
      </w:r>
      <w:r w:rsidRPr="00AB411E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Thèbes</w:t>
      </w:r>
    </w:p>
    <w:p w:rsidR="00AB411E" w:rsidRPr="00AB411E" w:rsidRDefault="00AB411E" w:rsidP="003B405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AB411E">
        <w:rPr>
          <w:rFonts w:ascii="Times New Roman" w:eastAsia="Times New Roman" w:hAnsi="Times New Roman" w:cs="Times New Roman"/>
          <w:sz w:val="24"/>
          <w:szCs w:val="24"/>
          <w:lang w:eastAsia="fr-FR"/>
        </w:rPr>
        <w:t>Expulsion des Hyksôs par Ahmôsis Ier.</w:t>
      </w:r>
    </w:p>
    <w:p w:rsidR="00AB411E" w:rsidRPr="00AB411E" w:rsidRDefault="00AB411E" w:rsidP="003B405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AB411E">
        <w:rPr>
          <w:rFonts w:ascii="Times New Roman" w:eastAsia="Times New Roman" w:hAnsi="Times New Roman" w:cs="Times New Roman"/>
          <w:sz w:val="24"/>
          <w:szCs w:val="24"/>
          <w:lang w:eastAsia="fr-FR"/>
        </w:rPr>
        <w:lastRenderedPageBreak/>
        <w:t>Expansion militaire : Syrie-Palestine, Nubie → empire égyptien.</w:t>
      </w:r>
    </w:p>
    <w:p w:rsidR="00AB411E" w:rsidRPr="00AB411E" w:rsidRDefault="00AB411E" w:rsidP="003B405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</w:pPr>
      <w:r w:rsidRPr="00AB411E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Pharaons majeurs :</w:t>
      </w:r>
    </w:p>
    <w:p w:rsidR="00AB411E" w:rsidRPr="00AB411E" w:rsidRDefault="00AB411E" w:rsidP="00AB411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AB411E">
        <w:rPr>
          <w:rFonts w:ascii="Times New Roman" w:eastAsia="Times New Roman" w:hAnsi="Times New Roman" w:cs="Times New Roman"/>
          <w:sz w:val="24"/>
          <w:szCs w:val="24"/>
          <w:lang w:eastAsia="fr-FR"/>
        </w:rPr>
        <w:t>Hatchepsout : grande diplomate, expéditions commerciales vers Pount.</w:t>
      </w:r>
    </w:p>
    <w:p w:rsidR="00AB411E" w:rsidRPr="00AB411E" w:rsidRDefault="00AB411E" w:rsidP="00AB411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AB411E">
        <w:rPr>
          <w:rFonts w:ascii="Times New Roman" w:eastAsia="Times New Roman" w:hAnsi="Times New Roman" w:cs="Times New Roman"/>
          <w:sz w:val="24"/>
          <w:szCs w:val="24"/>
          <w:lang w:eastAsia="fr-FR"/>
        </w:rPr>
        <w:t>Thoutmôsis III : conquérant, discipline militaire.</w:t>
      </w:r>
    </w:p>
    <w:p w:rsidR="00AB411E" w:rsidRPr="00AB411E" w:rsidRDefault="00AB411E" w:rsidP="003B405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AB411E">
        <w:rPr>
          <w:rFonts w:ascii="Times New Roman" w:eastAsia="Times New Roman" w:hAnsi="Times New Roman" w:cs="Times New Roman"/>
          <w:sz w:val="24"/>
          <w:szCs w:val="24"/>
          <w:lang w:eastAsia="fr-FR"/>
        </w:rPr>
        <w:t>Akhenaton : révolution religieuse → monothéisme d’Aton, abandon de la capitale.</w:t>
      </w:r>
    </w:p>
    <w:p w:rsidR="00AB411E" w:rsidRPr="00AB411E" w:rsidRDefault="00AB411E" w:rsidP="003B405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AB411E">
        <w:rPr>
          <w:rFonts w:ascii="Times New Roman" w:eastAsia="Times New Roman" w:hAnsi="Times New Roman" w:cs="Times New Roman"/>
          <w:sz w:val="24"/>
          <w:szCs w:val="24"/>
          <w:lang w:eastAsia="fr-FR"/>
        </w:rPr>
        <w:t>Ramsès II : traité de paix avec les Hittites, monuments colossaux.</w:t>
      </w:r>
    </w:p>
    <w:p w:rsidR="00AB411E" w:rsidRPr="00AB411E" w:rsidRDefault="00AB411E" w:rsidP="00AB411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AB411E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Déclin :</w:t>
      </w:r>
      <w:r w:rsidRPr="00AB411E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crise religieuse post-Akhenaton, invasions (Peuples de la mer), épuisement économique.</w:t>
      </w:r>
    </w:p>
    <w:p w:rsidR="00AB411E" w:rsidRPr="00AB411E" w:rsidRDefault="00AB411E" w:rsidP="00AB411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AB411E" w:rsidRPr="00AB411E" w:rsidRDefault="00AB411E" w:rsidP="003B405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</w:pPr>
      <w:r w:rsidRPr="00AB411E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5) Basse Époque (-1070 à -332) — domination étrangère avant l’ère grecque</w:t>
      </w:r>
    </w:p>
    <w:p w:rsidR="00AB411E" w:rsidRPr="00AB411E" w:rsidRDefault="00AB411E" w:rsidP="003B405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AB411E">
        <w:rPr>
          <w:rFonts w:ascii="Times New Roman" w:eastAsia="Times New Roman" w:hAnsi="Times New Roman" w:cs="Times New Roman"/>
          <w:sz w:val="24"/>
          <w:szCs w:val="24"/>
          <w:lang w:eastAsia="fr-FR"/>
        </w:rPr>
        <w:t>Faibles pharaons locaux, révoltes, indépendances éphémères.</w:t>
      </w:r>
    </w:p>
    <w:p w:rsidR="00AB411E" w:rsidRPr="00AB411E" w:rsidRDefault="00AB411E" w:rsidP="00C7406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AB411E">
        <w:rPr>
          <w:rFonts w:ascii="Times New Roman" w:eastAsia="Times New Roman" w:hAnsi="Times New Roman" w:cs="Times New Roman"/>
          <w:sz w:val="24"/>
          <w:szCs w:val="24"/>
          <w:lang w:eastAsia="fr-FR"/>
        </w:rPr>
        <w:t>Successions d’envahisseurs : Libyens → Nubiens → Assyriens → Perses.</w:t>
      </w:r>
    </w:p>
    <w:p w:rsidR="00AB411E" w:rsidRPr="00AB411E" w:rsidRDefault="00AB411E" w:rsidP="00AB411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AB411E">
        <w:rPr>
          <w:rFonts w:ascii="Times New Roman" w:eastAsia="Times New Roman" w:hAnsi="Times New Roman" w:cs="Times New Roman"/>
          <w:sz w:val="24"/>
          <w:szCs w:val="24"/>
          <w:lang w:eastAsia="fr-FR"/>
        </w:rPr>
        <w:t>Religion et art restent égyptiens malgré la domination étrangère.</w:t>
      </w:r>
    </w:p>
    <w:p w:rsidR="00AB411E" w:rsidRPr="00AB411E" w:rsidRDefault="00AB411E" w:rsidP="00AB411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AB411E" w:rsidRPr="00AB411E" w:rsidRDefault="00AB411E" w:rsidP="00C7406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</w:pPr>
      <w:r w:rsidRPr="00AB411E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6) Époque gréco-romaine (-332 à -30)</w:t>
      </w:r>
    </w:p>
    <w:p w:rsidR="00AB411E" w:rsidRPr="00AB411E" w:rsidRDefault="00AB411E" w:rsidP="00C7406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AB411E">
        <w:rPr>
          <w:rFonts w:ascii="Times New Roman" w:eastAsia="Times New Roman" w:hAnsi="Times New Roman" w:cs="Times New Roman"/>
          <w:sz w:val="24"/>
          <w:szCs w:val="24"/>
          <w:lang w:eastAsia="fr-FR"/>
        </w:rPr>
        <w:t>Conquête par Alexandre le Grand, fondation d’Alexandrie.</w:t>
      </w:r>
    </w:p>
    <w:p w:rsidR="00AB411E" w:rsidRPr="00AB411E" w:rsidRDefault="00AB411E" w:rsidP="00C7406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AB411E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Dynastie des </w:t>
      </w:r>
      <w:r w:rsidR="002E0BA9" w:rsidRPr="00AB411E">
        <w:rPr>
          <w:rFonts w:ascii="Times New Roman" w:eastAsia="Times New Roman" w:hAnsi="Times New Roman" w:cs="Times New Roman"/>
          <w:sz w:val="24"/>
          <w:szCs w:val="24"/>
          <w:lang w:eastAsia="fr-FR"/>
        </w:rPr>
        <w:t>Ptoléméens</w:t>
      </w:r>
      <w:r w:rsidRPr="00AB411E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: mélange de culture grecque et égyptienne.</w:t>
      </w:r>
    </w:p>
    <w:p w:rsidR="00AB411E" w:rsidRPr="00AB411E" w:rsidRDefault="00AB411E" w:rsidP="00C7406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AB411E">
        <w:rPr>
          <w:rFonts w:ascii="Times New Roman" w:eastAsia="Times New Roman" w:hAnsi="Times New Roman" w:cs="Times New Roman"/>
          <w:sz w:val="24"/>
          <w:szCs w:val="24"/>
          <w:lang w:eastAsia="fr-FR"/>
        </w:rPr>
        <w:t>Cléopâtre VII tente d’allier Égypte à Rome via César puis Marc-Antoine.</w:t>
      </w:r>
    </w:p>
    <w:p w:rsidR="00AB411E" w:rsidRPr="00AB411E" w:rsidRDefault="00AB411E" w:rsidP="00AB411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AB411E">
        <w:rPr>
          <w:rFonts w:ascii="Times New Roman" w:eastAsia="Times New Roman" w:hAnsi="Times New Roman" w:cs="Times New Roman"/>
          <w:sz w:val="24"/>
          <w:szCs w:val="24"/>
          <w:lang w:eastAsia="fr-FR"/>
        </w:rPr>
        <w:t>Défaite à Actium (-31) → l’Égypte devient romaine en -30.</w:t>
      </w:r>
    </w:p>
    <w:p w:rsidR="00AB411E" w:rsidRPr="00AB411E" w:rsidRDefault="00AB411E" w:rsidP="00AB411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AB411E" w:rsidRPr="00AB411E" w:rsidRDefault="00AB411E" w:rsidP="00C7406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fr-FR"/>
        </w:rPr>
      </w:pPr>
      <w:r w:rsidRPr="00AB411E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fr-FR"/>
        </w:rPr>
        <w:t>IV. Religion et société égyptienne</w:t>
      </w:r>
    </w:p>
    <w:p w:rsidR="00AB411E" w:rsidRPr="00AB411E" w:rsidRDefault="00AB411E" w:rsidP="00C7406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</w:pPr>
      <w:r w:rsidRPr="00AB411E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1) Religion</w:t>
      </w:r>
    </w:p>
    <w:p w:rsidR="00AB411E" w:rsidRPr="00AB411E" w:rsidRDefault="00AB411E" w:rsidP="00C7406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AB411E">
        <w:rPr>
          <w:rFonts w:ascii="Times New Roman" w:eastAsia="Times New Roman" w:hAnsi="Times New Roman" w:cs="Times New Roman"/>
          <w:sz w:val="24"/>
          <w:szCs w:val="24"/>
          <w:lang w:eastAsia="fr-FR"/>
        </w:rPr>
        <w:t>Panthéon riche : Rê (soleil), Osiris (au-delà), Isis (magie), Anubis (embaumement), Horus (royauté).</w:t>
      </w:r>
    </w:p>
    <w:p w:rsidR="00AB411E" w:rsidRPr="00AB411E" w:rsidRDefault="00AB411E" w:rsidP="00C7406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AB411E">
        <w:rPr>
          <w:rFonts w:ascii="Times New Roman" w:eastAsia="Times New Roman" w:hAnsi="Times New Roman" w:cs="Times New Roman"/>
          <w:sz w:val="24"/>
          <w:szCs w:val="24"/>
          <w:lang w:eastAsia="fr-FR"/>
        </w:rPr>
        <w:t>Croyance centrale : continuité de la vie après la mort → momification, tombeaux, Livre des morts.</w:t>
      </w:r>
    </w:p>
    <w:p w:rsidR="00AB411E" w:rsidRPr="00AB411E" w:rsidRDefault="00AB411E" w:rsidP="00C7406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AB411E">
        <w:rPr>
          <w:rFonts w:ascii="Times New Roman" w:eastAsia="Times New Roman" w:hAnsi="Times New Roman" w:cs="Times New Roman"/>
          <w:sz w:val="24"/>
          <w:szCs w:val="24"/>
          <w:lang w:eastAsia="fr-FR"/>
        </w:rPr>
        <w:t>Le roi est le gardien de la Maât (l’ordre universel).</w:t>
      </w:r>
    </w:p>
    <w:p w:rsidR="00AB411E" w:rsidRPr="00AB411E" w:rsidRDefault="00AB411E" w:rsidP="00C7406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</w:pPr>
      <w:r w:rsidRPr="00AB411E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2) Société hiérarchique et fonctionnelle</w:t>
      </w:r>
    </w:p>
    <w:p w:rsidR="00AB411E" w:rsidRPr="00AB411E" w:rsidRDefault="00AB411E" w:rsidP="00C7406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AB411E">
        <w:rPr>
          <w:rFonts w:ascii="Times New Roman" w:eastAsia="Times New Roman" w:hAnsi="Times New Roman" w:cs="Times New Roman"/>
          <w:sz w:val="24"/>
          <w:szCs w:val="24"/>
          <w:lang w:eastAsia="fr-FR"/>
        </w:rPr>
        <w:t>Hiérarchie justifiée religieusement.</w:t>
      </w:r>
    </w:p>
    <w:p w:rsidR="00AB411E" w:rsidRPr="00AB411E" w:rsidRDefault="00AB411E" w:rsidP="00C7406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AB411E">
        <w:rPr>
          <w:rFonts w:ascii="Times New Roman" w:eastAsia="Times New Roman" w:hAnsi="Times New Roman" w:cs="Times New Roman"/>
          <w:sz w:val="24"/>
          <w:szCs w:val="24"/>
          <w:lang w:eastAsia="fr-FR"/>
        </w:rPr>
        <w:t>Valeur dominante : stabilité et continuité avant tout.</w:t>
      </w:r>
    </w:p>
    <w:p w:rsidR="00AB411E" w:rsidRPr="00AB411E" w:rsidRDefault="00AB411E" w:rsidP="00C7406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</w:pPr>
      <w:r w:rsidRPr="00AB411E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V. Héritage</w:t>
      </w:r>
    </w:p>
    <w:p w:rsidR="00AB411E" w:rsidRPr="00AB411E" w:rsidRDefault="00AB411E" w:rsidP="00C7406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AB411E">
        <w:rPr>
          <w:rFonts w:ascii="Times New Roman" w:eastAsia="Times New Roman" w:hAnsi="Times New Roman" w:cs="Times New Roman"/>
          <w:sz w:val="24"/>
          <w:szCs w:val="24"/>
          <w:lang w:eastAsia="fr-FR"/>
        </w:rPr>
        <w:t>Architecture éternelle : obélisques, temples, pyramides.</w:t>
      </w:r>
    </w:p>
    <w:p w:rsidR="00AB411E" w:rsidRPr="00AB411E" w:rsidRDefault="00AB411E" w:rsidP="00C7406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AB411E">
        <w:rPr>
          <w:rFonts w:ascii="Times New Roman" w:eastAsia="Times New Roman" w:hAnsi="Times New Roman" w:cs="Times New Roman"/>
          <w:sz w:val="24"/>
          <w:szCs w:val="24"/>
          <w:lang w:eastAsia="fr-FR"/>
        </w:rPr>
        <w:t>Écriture hiéroglyphique, décodée grâce à la pierre de Rosette.</w:t>
      </w:r>
    </w:p>
    <w:p w:rsidR="00AB411E" w:rsidRPr="00AB411E" w:rsidRDefault="00AB411E" w:rsidP="00C7406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AB411E">
        <w:rPr>
          <w:rFonts w:ascii="Times New Roman" w:eastAsia="Times New Roman" w:hAnsi="Times New Roman" w:cs="Times New Roman"/>
          <w:sz w:val="24"/>
          <w:szCs w:val="24"/>
          <w:lang w:eastAsia="fr-FR"/>
        </w:rPr>
        <w:t>Savoirs en mathématiques, astronomie, médecine et ingénierie hydraulique.</w:t>
      </w:r>
    </w:p>
    <w:p w:rsidR="00AB411E" w:rsidRPr="00AB411E" w:rsidRDefault="00AB411E" w:rsidP="00C7406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AB411E">
        <w:rPr>
          <w:rFonts w:ascii="Times New Roman" w:eastAsia="Times New Roman" w:hAnsi="Times New Roman" w:cs="Times New Roman"/>
          <w:sz w:val="24"/>
          <w:szCs w:val="24"/>
          <w:lang w:eastAsia="fr-FR"/>
        </w:rPr>
        <w:t>Influence durable sur les Grecs et sur la pensée religieuse (culte des morts, mystères).</w:t>
      </w:r>
    </w:p>
    <w:p w:rsidR="00AB411E" w:rsidRPr="00AB411E" w:rsidRDefault="00AB411E" w:rsidP="00C7406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</w:pPr>
      <w:r w:rsidRPr="00AB411E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Conclusion</w:t>
      </w:r>
    </w:p>
    <w:p w:rsidR="00AB411E" w:rsidRDefault="00AB411E" w:rsidP="00AB411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AB411E">
        <w:rPr>
          <w:rFonts w:ascii="Times New Roman" w:eastAsia="Times New Roman" w:hAnsi="Times New Roman" w:cs="Times New Roman"/>
          <w:sz w:val="24"/>
          <w:szCs w:val="24"/>
          <w:lang w:eastAsia="fr-FR"/>
        </w:rPr>
        <w:t>La civilisation égyptienne se distingue par sa longévité, sa cohérence religieuse et administrative, et sa capacité à mobiliser la société pour des projets monumentaux. Elle reste l’un des modèles les plus achevés de civilisation théocratique organisée.</w:t>
      </w:r>
    </w:p>
    <w:p w:rsidR="004B7EB2" w:rsidRPr="00AB411E" w:rsidRDefault="004B7EB2" w:rsidP="00AB411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870CB6" w:rsidRDefault="008A79E1" w:rsidP="00AB411E">
      <w:pPr>
        <w:jc w:val="both"/>
      </w:pPr>
      <w:r>
        <w:rPr>
          <w:noProof/>
          <w:lang w:eastAsia="fr-FR"/>
        </w:rPr>
        <w:drawing>
          <wp:inline distT="0" distB="0" distL="0" distR="0">
            <wp:extent cx="2019300" cy="2770651"/>
            <wp:effectExtent l="19050" t="0" r="0" b="0"/>
            <wp:docPr id="76" name="Image 76" descr="C:\Users\acer\Desktop\Egypt_1450_BC_fr.sv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6" descr="C:\Users\acer\Desktop\Egypt_1450_BC_fr.svg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9300" cy="277065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fr-FR"/>
        </w:rPr>
        <w:t xml:space="preserve">    </w:t>
      </w:r>
      <w:r w:rsidR="00D9575F">
        <w:t xml:space="preserve">  </w:t>
      </w:r>
      <w:r w:rsidR="00D9575F">
        <w:rPr>
          <w:noProof/>
          <w:lang w:eastAsia="fr-FR"/>
        </w:rPr>
        <w:drawing>
          <wp:inline distT="0" distB="0" distL="0" distR="0">
            <wp:extent cx="2162175" cy="2771775"/>
            <wp:effectExtent l="19050" t="0" r="9525" b="0"/>
            <wp:docPr id="73" name="Image 73" descr="C:\Users\acer\Desktop\societe-pyramid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3" descr="C:\Users\acer\Desktop\societe-pyramid.gif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62175" cy="2771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C73740">
        <w:t xml:space="preserve">    </w:t>
      </w:r>
      <w:r w:rsidR="00C73740">
        <w:rPr>
          <w:noProof/>
          <w:lang w:eastAsia="fr-FR"/>
        </w:rPr>
        <w:drawing>
          <wp:inline distT="0" distB="0" distL="0" distR="0">
            <wp:extent cx="2076450" cy="2771775"/>
            <wp:effectExtent l="19050" t="0" r="0" b="0"/>
            <wp:docPr id="77" name="Image 77" descr="C:\Users\acer\Desktop\carte-egypte-antique-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7" descr="C:\Users\acer\Desktop\carte-egypte-antique-1.jp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76450" cy="2771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870CB6" w:rsidSect="00AB411E">
      <w:footerReference w:type="default" r:id="rId10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9222A" w:rsidRDefault="00A9222A" w:rsidP="00C74060">
      <w:pPr>
        <w:spacing w:after="0" w:line="240" w:lineRule="auto"/>
      </w:pPr>
      <w:r>
        <w:separator/>
      </w:r>
    </w:p>
  </w:endnote>
  <w:endnote w:type="continuationSeparator" w:id="1">
    <w:p w:rsidR="00A9222A" w:rsidRDefault="00A9222A" w:rsidP="00C740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68408"/>
      <w:docPartObj>
        <w:docPartGallery w:val="Page Numbers (Bottom of Page)"/>
        <w:docPartUnique/>
      </w:docPartObj>
    </w:sdtPr>
    <w:sdtContent>
      <w:p w:rsidR="00C74060" w:rsidRDefault="00C74060">
        <w:pPr>
          <w:pStyle w:val="Pieddepage"/>
          <w:jc w:val="center"/>
        </w:pPr>
        <w:r>
          <w:t>-</w:t>
        </w:r>
        <w:fldSimple w:instr=" PAGE   \* MERGEFORMAT ">
          <w:r w:rsidR="002E0BA9">
            <w:rPr>
              <w:noProof/>
            </w:rPr>
            <w:t>2</w:t>
          </w:r>
        </w:fldSimple>
        <w:r>
          <w:t>-</w:t>
        </w:r>
      </w:p>
    </w:sdtContent>
  </w:sdt>
  <w:p w:rsidR="00C74060" w:rsidRDefault="00C74060">
    <w:pPr>
      <w:pStyle w:val="Pieddepag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9222A" w:rsidRDefault="00A9222A" w:rsidP="00C74060">
      <w:pPr>
        <w:spacing w:after="0" w:line="240" w:lineRule="auto"/>
      </w:pPr>
      <w:r>
        <w:separator/>
      </w:r>
    </w:p>
  </w:footnote>
  <w:footnote w:type="continuationSeparator" w:id="1">
    <w:p w:rsidR="00A9222A" w:rsidRDefault="00A9222A" w:rsidP="00C7406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B411E"/>
    <w:rsid w:val="00174A35"/>
    <w:rsid w:val="002E0BA9"/>
    <w:rsid w:val="003B4050"/>
    <w:rsid w:val="004B7EB2"/>
    <w:rsid w:val="00870CB6"/>
    <w:rsid w:val="008A79E1"/>
    <w:rsid w:val="009D2174"/>
    <w:rsid w:val="009D2D99"/>
    <w:rsid w:val="00A9222A"/>
    <w:rsid w:val="00AB411E"/>
    <w:rsid w:val="00C73740"/>
    <w:rsid w:val="00C74060"/>
    <w:rsid w:val="00D957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D2D99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AB41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B411E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semiHidden/>
    <w:unhideWhenUsed/>
    <w:rsid w:val="00C7406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C74060"/>
  </w:style>
  <w:style w:type="paragraph" w:styleId="Pieddepage">
    <w:name w:val="footer"/>
    <w:basedOn w:val="Normal"/>
    <w:link w:val="PieddepageCar"/>
    <w:uiPriority w:val="99"/>
    <w:unhideWhenUsed/>
    <w:rsid w:val="00C7406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C7406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548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0380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003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494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305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781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108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51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622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075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368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984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515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72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901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785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028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712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208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989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812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629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194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859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135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106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745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428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618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471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305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727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748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92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109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05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557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979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353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947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539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103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131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359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126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24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76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323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351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129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832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549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454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73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003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27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677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488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201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596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677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764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731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671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431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385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130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941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833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249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003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878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740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073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61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623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658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34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462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134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621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382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155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172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007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637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909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456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012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83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057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829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229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919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711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745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789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52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195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546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378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412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944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987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618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169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331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415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751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12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49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368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233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815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110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582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353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078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103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529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219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580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804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364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555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591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829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649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243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81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147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201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691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152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124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695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245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997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31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833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914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050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96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437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123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545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074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918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362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166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553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288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262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251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33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10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576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048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873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284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250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498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020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483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381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857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849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489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854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677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808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170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091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32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410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435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786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109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065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143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737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404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575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595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523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8876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806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314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500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812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507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738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564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552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23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404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75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545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349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804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79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43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109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113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607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917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316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385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976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607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793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861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132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10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790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58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373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682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762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922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150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304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485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890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798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537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846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752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085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353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108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812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179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139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658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969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394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967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94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374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920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944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292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208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44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736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430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856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89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794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929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966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263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533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056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614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602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431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359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551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388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009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733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566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949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904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408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353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472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944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414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589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587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631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844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742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529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546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767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634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047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591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64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532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103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08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337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672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759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213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115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009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006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22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974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348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372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730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789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117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641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009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131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269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450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550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697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592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325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400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097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919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988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698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914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752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499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454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529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269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912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276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075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490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757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261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027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098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543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139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891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586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56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045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69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414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078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355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486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009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334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477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804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344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612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244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438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978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150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309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276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468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699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453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511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069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516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14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085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747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835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398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588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236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513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68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972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8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gif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56D692-AA87-4BCE-9332-DA4D4D7955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2</Pages>
  <Words>742</Words>
  <Characters>4084</Characters>
  <Application>Microsoft Office Word</Application>
  <DocSecurity>0</DocSecurity>
  <Lines>34</Lines>
  <Paragraphs>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acer</cp:lastModifiedBy>
  <cp:revision>6</cp:revision>
  <cp:lastPrinted>2025-10-21T22:24:00Z</cp:lastPrinted>
  <dcterms:created xsi:type="dcterms:W3CDTF">2025-10-21T21:38:00Z</dcterms:created>
  <dcterms:modified xsi:type="dcterms:W3CDTF">2025-10-21T22:44:00Z</dcterms:modified>
</cp:coreProperties>
</file>