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2F7" w:rsidRPr="00EB4AF2" w:rsidRDefault="00E61FC1" w:rsidP="00E61FC1">
      <w:pPr>
        <w:jc w:val="both"/>
        <w:rPr>
          <w:rFonts w:ascii="Times New Roman" w:hAnsi="Times New Roman" w:cs="Times New Roman"/>
          <w:b/>
          <w:bCs/>
          <w:sz w:val="24"/>
          <w:szCs w:val="24"/>
        </w:rPr>
      </w:pPr>
      <w:r w:rsidRPr="00EB4AF2">
        <w:rPr>
          <w:rFonts w:ascii="Times New Roman" w:hAnsi="Times New Roman" w:cs="Times New Roman"/>
          <w:b/>
          <w:bCs/>
          <w:sz w:val="24"/>
          <w:szCs w:val="24"/>
        </w:rPr>
        <w:t xml:space="preserve">Cours 2 : </w:t>
      </w:r>
      <w:r w:rsidR="007B42F7" w:rsidRPr="00EB4AF2">
        <w:rPr>
          <w:rFonts w:ascii="Times New Roman" w:hAnsi="Times New Roman" w:cs="Times New Roman"/>
          <w:b/>
          <w:bCs/>
          <w:sz w:val="24"/>
          <w:szCs w:val="24"/>
        </w:rPr>
        <w:t>La Kabylie </w:t>
      </w:r>
      <w:r w:rsidR="007B2215">
        <w:rPr>
          <w:rFonts w:ascii="Times New Roman" w:hAnsi="Times New Roman" w:cs="Times New Roman"/>
          <w:b/>
          <w:bCs/>
          <w:sz w:val="24"/>
          <w:szCs w:val="24"/>
        </w:rPr>
        <w:t>et les Kabyles</w:t>
      </w:r>
    </w:p>
    <w:p w:rsidR="00E61FC1" w:rsidRPr="00EB4AF2" w:rsidRDefault="00E61FC1" w:rsidP="00E61FC1">
      <w:pPr>
        <w:jc w:val="both"/>
        <w:rPr>
          <w:rFonts w:ascii="Times New Roman" w:hAnsi="Times New Roman" w:cs="Times New Roman"/>
          <w:sz w:val="24"/>
          <w:szCs w:val="24"/>
          <w:lang w:bidi="ar-DZ"/>
        </w:rPr>
      </w:pPr>
      <w:r w:rsidRPr="00EB4AF2">
        <w:rPr>
          <w:rFonts w:ascii="Times New Roman" w:hAnsi="Times New Roman" w:cs="Times New Roman"/>
          <w:b/>
          <w:bCs/>
          <w:sz w:val="24"/>
          <w:szCs w:val="24"/>
          <w:lang w:bidi="ar-DZ"/>
        </w:rPr>
        <w:t>Kabylie (Définition) : (Tamurt n Leqbayel)</w:t>
      </w:r>
      <w:r w:rsidRPr="00EB4AF2">
        <w:rPr>
          <w:rFonts w:ascii="Times New Roman" w:hAnsi="Times New Roman" w:cs="Times New Roman"/>
          <w:sz w:val="24"/>
          <w:szCs w:val="24"/>
          <w:lang w:bidi="ar-DZ"/>
        </w:rPr>
        <w:t> : Située au Nord de l’Afrique, à l’Est d’Alger, la Kabylie ou les Kabylies forment un segment du système montagneux de l’Atlas Tellien du Nord-Est de l’Algérie. C’est un véritable isolat géographique et physique. Elle a été surnommée « La Suisse Africaine », « l’Auvergne Africaine »</w:t>
      </w:r>
    </w:p>
    <w:p w:rsidR="0009756D" w:rsidRPr="00EB4AF2" w:rsidRDefault="0009756D" w:rsidP="0009756D">
      <w:pPr>
        <w:ind w:firstLine="708"/>
        <w:jc w:val="both"/>
        <w:rPr>
          <w:rFonts w:ascii="Times New Roman" w:hAnsi="Times New Roman" w:cs="Times New Roman"/>
          <w:i/>
          <w:sz w:val="24"/>
          <w:szCs w:val="24"/>
          <w:lang w:bidi="ar-DZ"/>
        </w:rPr>
      </w:pPr>
      <w:r w:rsidRPr="00EB4AF2">
        <w:rPr>
          <w:rFonts w:ascii="Times New Roman" w:hAnsi="Times New Roman" w:cs="Times New Roman"/>
          <w:sz w:val="24"/>
          <w:szCs w:val="24"/>
          <w:lang w:bidi="ar-DZ"/>
        </w:rPr>
        <w:t xml:space="preserve">La Kabylie est une région berbérophone située au nord-est de l’Algérie. C’est une région montagneuse, mais aussi </w:t>
      </w:r>
      <w:r w:rsidR="00EC70F1" w:rsidRPr="00EB4AF2">
        <w:rPr>
          <w:rFonts w:ascii="Times New Roman" w:hAnsi="Times New Roman" w:cs="Times New Roman"/>
          <w:sz w:val="24"/>
          <w:szCs w:val="24"/>
          <w:lang w:bidi="ar-DZ"/>
        </w:rPr>
        <w:t>côtière</w:t>
      </w:r>
      <w:r w:rsidRPr="00EB4AF2">
        <w:rPr>
          <w:rFonts w:ascii="Times New Roman" w:hAnsi="Times New Roman" w:cs="Times New Roman"/>
          <w:sz w:val="24"/>
          <w:szCs w:val="24"/>
          <w:lang w:bidi="ar-DZ"/>
        </w:rPr>
        <w:t xml:space="preserve">. </w:t>
      </w:r>
      <w:r w:rsidR="00882B3C" w:rsidRPr="00EB4AF2">
        <w:rPr>
          <w:rFonts w:ascii="Times New Roman" w:hAnsi="Times New Roman" w:cs="Times New Roman"/>
          <w:sz w:val="24"/>
          <w:szCs w:val="24"/>
          <w:lang w:bidi="ar-DZ"/>
        </w:rPr>
        <w:t xml:space="preserve">Général Daumas l’a décrite comme étant </w:t>
      </w:r>
      <w:r w:rsidR="00882B3C" w:rsidRPr="00EB4AF2">
        <w:rPr>
          <w:rFonts w:ascii="Times New Roman" w:hAnsi="Times New Roman" w:cs="Times New Roman"/>
          <w:i/>
          <w:sz w:val="24"/>
          <w:szCs w:val="24"/>
          <w:lang w:bidi="ar-DZ"/>
        </w:rPr>
        <w:t xml:space="preserve">« ce vaste pâté de montagnes compris entre Dellys et Bougie » </w:t>
      </w:r>
      <w:r w:rsidR="00882B3C" w:rsidRPr="00EB4AF2">
        <w:rPr>
          <w:rFonts w:ascii="Times New Roman" w:hAnsi="Times New Roman" w:cs="Times New Roman"/>
          <w:sz w:val="24"/>
          <w:szCs w:val="24"/>
          <w:lang w:bidi="ar-DZ"/>
        </w:rPr>
        <w:t xml:space="preserve">Quant à J. Liorel, il a dit à propos de la Kabylie, que c’était un </w:t>
      </w:r>
      <w:r w:rsidR="00882B3C" w:rsidRPr="00EB4AF2">
        <w:rPr>
          <w:rFonts w:ascii="Times New Roman" w:hAnsi="Times New Roman" w:cs="Times New Roman"/>
          <w:i/>
          <w:sz w:val="24"/>
          <w:szCs w:val="24"/>
          <w:lang w:bidi="ar-DZ"/>
        </w:rPr>
        <w:t xml:space="preserve">« pays </w:t>
      </w:r>
      <w:r w:rsidR="00037725" w:rsidRPr="00EB4AF2">
        <w:rPr>
          <w:rFonts w:ascii="Times New Roman" w:hAnsi="Times New Roman" w:cs="Times New Roman"/>
          <w:i/>
          <w:sz w:val="24"/>
          <w:szCs w:val="24"/>
          <w:lang w:bidi="ar-DZ"/>
        </w:rPr>
        <w:t>extrêmement</w:t>
      </w:r>
      <w:r w:rsidR="00882B3C" w:rsidRPr="00EB4AF2">
        <w:rPr>
          <w:rFonts w:ascii="Times New Roman" w:hAnsi="Times New Roman" w:cs="Times New Roman"/>
          <w:i/>
          <w:sz w:val="24"/>
          <w:szCs w:val="24"/>
          <w:lang w:bidi="ar-DZ"/>
        </w:rPr>
        <w:t xml:space="preserve"> montagneux, sans plaines » </w:t>
      </w:r>
    </w:p>
    <w:p w:rsidR="0009756D" w:rsidRPr="00EB4AF2" w:rsidRDefault="0009756D" w:rsidP="0009756D">
      <w:pPr>
        <w:ind w:firstLine="708"/>
        <w:jc w:val="both"/>
        <w:rPr>
          <w:rFonts w:ascii="Times New Roman" w:hAnsi="Times New Roman" w:cs="Times New Roman"/>
          <w:sz w:val="24"/>
          <w:szCs w:val="24"/>
          <w:lang w:bidi="ar-DZ"/>
        </w:rPr>
      </w:pPr>
      <w:r w:rsidRPr="00EB4AF2">
        <w:rPr>
          <w:rFonts w:ascii="Times New Roman" w:hAnsi="Times New Roman" w:cs="Times New Roman"/>
          <w:sz w:val="24"/>
          <w:szCs w:val="24"/>
          <w:lang w:bidi="ar-DZ"/>
        </w:rPr>
        <w:t>Les Kabyles constituent une partie des peu</w:t>
      </w:r>
      <w:r w:rsidR="00890F2A">
        <w:rPr>
          <w:rFonts w:ascii="Times New Roman" w:hAnsi="Times New Roman" w:cs="Times New Roman"/>
          <w:sz w:val="24"/>
          <w:szCs w:val="24"/>
          <w:lang w:bidi="ar-DZ"/>
        </w:rPr>
        <w:t>p</w:t>
      </w:r>
      <w:bookmarkStart w:id="0" w:name="_GoBack"/>
      <w:bookmarkEnd w:id="0"/>
      <w:r w:rsidRPr="00EB4AF2">
        <w:rPr>
          <w:rFonts w:ascii="Times New Roman" w:hAnsi="Times New Roman" w:cs="Times New Roman"/>
          <w:sz w:val="24"/>
          <w:szCs w:val="24"/>
          <w:lang w:bidi="ar-DZ"/>
        </w:rPr>
        <w:t xml:space="preserve">les berbères d’Afrique du Nord et sont présents en Algérie depuis toujours. </w:t>
      </w:r>
    </w:p>
    <w:p w:rsidR="00E61FC1" w:rsidRPr="007E7E21" w:rsidRDefault="00E61FC1" w:rsidP="007E7E21">
      <w:pPr>
        <w:pStyle w:val="Paragraphedeliste"/>
        <w:numPr>
          <w:ilvl w:val="0"/>
          <w:numId w:val="6"/>
        </w:numPr>
        <w:jc w:val="both"/>
        <w:rPr>
          <w:rFonts w:ascii="Times New Roman" w:hAnsi="Times New Roman" w:cs="Times New Roman"/>
          <w:b/>
          <w:bCs/>
          <w:sz w:val="24"/>
          <w:szCs w:val="24"/>
        </w:rPr>
      </w:pPr>
      <w:r w:rsidRPr="007E7E21">
        <w:rPr>
          <w:rFonts w:ascii="Times New Roman" w:hAnsi="Times New Roman" w:cs="Times New Roman"/>
          <w:b/>
          <w:bCs/>
          <w:sz w:val="24"/>
          <w:szCs w:val="24"/>
        </w:rPr>
        <w:t xml:space="preserve">Etymologie du mot « Kabyle » </w:t>
      </w:r>
    </w:p>
    <w:p w:rsidR="00E61FC1" w:rsidRPr="00EB4AF2" w:rsidRDefault="00E61FC1" w:rsidP="00E61FC1">
      <w:pPr>
        <w:pStyle w:val="Paragraphedeliste"/>
        <w:jc w:val="both"/>
        <w:rPr>
          <w:rFonts w:ascii="Times New Roman" w:hAnsi="Times New Roman" w:cs="Times New Roman"/>
          <w:sz w:val="24"/>
          <w:szCs w:val="24"/>
        </w:rPr>
      </w:pPr>
      <w:r w:rsidRPr="00EB4AF2">
        <w:rPr>
          <w:rFonts w:ascii="Times New Roman" w:hAnsi="Times New Roman" w:cs="Times New Roman"/>
          <w:sz w:val="24"/>
          <w:szCs w:val="24"/>
        </w:rPr>
        <w:tab/>
        <w:t xml:space="preserve">Plusieurs hypothèses ont été proposées concernant ce nom : </w:t>
      </w:r>
    </w:p>
    <w:p w:rsidR="00E61FC1" w:rsidRPr="00EB4AF2" w:rsidRDefault="00E61FC1" w:rsidP="00E61FC1">
      <w:pPr>
        <w:pStyle w:val="Paragraphedeliste"/>
        <w:numPr>
          <w:ilvl w:val="0"/>
          <w:numId w:val="1"/>
        </w:numPr>
        <w:jc w:val="both"/>
        <w:rPr>
          <w:rFonts w:ascii="Times New Roman" w:hAnsi="Times New Roman" w:cs="Times New Roman"/>
          <w:sz w:val="24"/>
          <w:szCs w:val="24"/>
        </w:rPr>
      </w:pPr>
      <w:r w:rsidRPr="00EB4AF2">
        <w:rPr>
          <w:rFonts w:ascii="Times New Roman" w:hAnsi="Times New Roman" w:cs="Times New Roman"/>
          <w:sz w:val="24"/>
          <w:szCs w:val="24"/>
        </w:rPr>
        <w:t>Ce nom viendrait du mot arabe ‘Qabila’ qui signifie tribu</w:t>
      </w:r>
    </w:p>
    <w:p w:rsidR="00E61FC1" w:rsidRPr="00EB4AF2" w:rsidRDefault="00E61FC1" w:rsidP="00E61FC1">
      <w:pPr>
        <w:pStyle w:val="Paragraphedeliste"/>
        <w:numPr>
          <w:ilvl w:val="0"/>
          <w:numId w:val="1"/>
        </w:numPr>
        <w:jc w:val="both"/>
        <w:rPr>
          <w:rFonts w:ascii="Times New Roman" w:hAnsi="Times New Roman" w:cs="Times New Roman"/>
          <w:sz w:val="24"/>
          <w:szCs w:val="24"/>
        </w:rPr>
      </w:pPr>
      <w:r w:rsidRPr="00EB4AF2">
        <w:rPr>
          <w:rFonts w:ascii="Times New Roman" w:hAnsi="Times New Roman" w:cs="Times New Roman"/>
          <w:sz w:val="24"/>
          <w:szCs w:val="24"/>
        </w:rPr>
        <w:t xml:space="preserve">Appellation donnée par les arabes aux autochtones de l’Afrique du Nord lors de leur acceptation de l’Islam. </w:t>
      </w:r>
    </w:p>
    <w:p w:rsidR="00E61FC1" w:rsidRPr="00EB4AF2" w:rsidRDefault="00E61FC1" w:rsidP="00E61FC1">
      <w:pPr>
        <w:pStyle w:val="Paragraphedeliste"/>
        <w:numPr>
          <w:ilvl w:val="0"/>
          <w:numId w:val="1"/>
        </w:numPr>
        <w:jc w:val="both"/>
        <w:rPr>
          <w:rFonts w:ascii="Times New Roman" w:hAnsi="Times New Roman" w:cs="Times New Roman"/>
          <w:sz w:val="24"/>
          <w:szCs w:val="24"/>
        </w:rPr>
      </w:pPr>
      <w:r w:rsidRPr="00EB4AF2">
        <w:rPr>
          <w:rFonts w:ascii="Times New Roman" w:hAnsi="Times New Roman" w:cs="Times New Roman"/>
          <w:sz w:val="24"/>
          <w:szCs w:val="24"/>
        </w:rPr>
        <w:t xml:space="preserve">Acceptation des autochtones d’une nouvelle culture et d’une autre langue étrangère lors de l’incursion arabe. </w:t>
      </w:r>
    </w:p>
    <w:p w:rsidR="00882B3C" w:rsidRDefault="00E61FC1" w:rsidP="00E61FC1">
      <w:pPr>
        <w:pStyle w:val="Paragraphedeliste"/>
        <w:numPr>
          <w:ilvl w:val="0"/>
          <w:numId w:val="1"/>
        </w:numPr>
        <w:jc w:val="both"/>
        <w:rPr>
          <w:rFonts w:ascii="Times New Roman" w:hAnsi="Times New Roman" w:cs="Times New Roman"/>
          <w:sz w:val="24"/>
          <w:szCs w:val="24"/>
        </w:rPr>
      </w:pPr>
      <w:r w:rsidRPr="00EB4AF2">
        <w:rPr>
          <w:rFonts w:ascii="Times New Roman" w:hAnsi="Times New Roman" w:cs="Times New Roman"/>
          <w:sz w:val="24"/>
          <w:szCs w:val="24"/>
        </w:rPr>
        <w:t>Le vocable ‘Kabyle’ viendrait de la racine arabe (Kob</w:t>
      </w:r>
      <w:r w:rsidR="007E7E21">
        <w:rPr>
          <w:rFonts w:ascii="Times New Roman" w:hAnsi="Times New Roman" w:cs="Times New Roman"/>
          <w:sz w:val="24"/>
          <w:szCs w:val="24"/>
        </w:rPr>
        <w:t xml:space="preserve">ol) qui signifie les devanciers. </w:t>
      </w:r>
    </w:p>
    <w:p w:rsidR="007E7E21" w:rsidRPr="0022424F" w:rsidRDefault="007E7E21" w:rsidP="007E7E21">
      <w:pPr>
        <w:pStyle w:val="Paragraphedeliste"/>
        <w:numPr>
          <w:ilvl w:val="0"/>
          <w:numId w:val="5"/>
        </w:numPr>
        <w:jc w:val="both"/>
        <w:rPr>
          <w:rFonts w:ascii="Times New Roman" w:hAnsi="Times New Roman" w:cs="Times New Roman"/>
          <w:b/>
          <w:sz w:val="24"/>
          <w:szCs w:val="24"/>
        </w:rPr>
      </w:pPr>
      <w:r w:rsidRPr="0022424F">
        <w:rPr>
          <w:rFonts w:ascii="Times New Roman" w:hAnsi="Times New Roman" w:cs="Times New Roman"/>
          <w:b/>
          <w:sz w:val="24"/>
          <w:szCs w:val="24"/>
        </w:rPr>
        <w:t>Origine des Kabyles</w:t>
      </w:r>
    </w:p>
    <w:p w:rsidR="00890F2A" w:rsidRPr="0022424F" w:rsidRDefault="007E7E21" w:rsidP="0022424F">
      <w:pPr>
        <w:ind w:firstLine="360"/>
        <w:jc w:val="both"/>
        <w:rPr>
          <w:rFonts w:ascii="Times New Roman" w:hAnsi="Times New Roman" w:cs="Times New Roman"/>
          <w:sz w:val="24"/>
          <w:szCs w:val="24"/>
        </w:rPr>
      </w:pPr>
      <w:r w:rsidRPr="0022424F">
        <w:rPr>
          <w:rFonts w:ascii="Times New Roman" w:hAnsi="Times New Roman" w:cs="Times New Roman"/>
          <w:sz w:val="24"/>
          <w:szCs w:val="24"/>
        </w:rPr>
        <w:t>Les Kabyles sont les descendants purs du peuple berbère (Amazigh), un nom générique qui</w:t>
      </w:r>
      <w:r w:rsidR="00257F55" w:rsidRPr="0022424F">
        <w:rPr>
          <w:rFonts w:ascii="Times New Roman" w:hAnsi="Times New Roman" w:cs="Times New Roman"/>
          <w:sz w:val="24"/>
          <w:szCs w:val="24"/>
        </w:rPr>
        <w:t xml:space="preserve"> </w:t>
      </w:r>
      <w:r w:rsidRPr="0022424F">
        <w:rPr>
          <w:rFonts w:ascii="Times New Roman" w:hAnsi="Times New Roman" w:cs="Times New Roman"/>
          <w:sz w:val="24"/>
          <w:szCs w:val="24"/>
        </w:rPr>
        <w:t xml:space="preserve">rappelle aussi le nom de Mazyes qui date de l’antiquité et qui s’est conservé </w:t>
      </w:r>
      <w:r w:rsidR="00257F55" w:rsidRPr="0022424F">
        <w:rPr>
          <w:rFonts w:ascii="Times New Roman" w:hAnsi="Times New Roman" w:cs="Times New Roman"/>
          <w:sz w:val="24"/>
          <w:szCs w:val="24"/>
        </w:rPr>
        <w:t xml:space="preserve">à travers les âges. Un peuple qui, à l’instar de leurs ascendants, avait su préserver sa langue et sa culture ainsi que tous leurs fondements contrairement aux Berbères arabisés qui se sont acculturés en faveur de la civilisation arabo-musulmane. </w:t>
      </w:r>
    </w:p>
    <w:p w:rsidR="0002737E" w:rsidRPr="00EB4AF2" w:rsidRDefault="00882B3C" w:rsidP="00EB4AF2">
      <w:pPr>
        <w:pStyle w:val="Paragraphedeliste"/>
        <w:numPr>
          <w:ilvl w:val="0"/>
          <w:numId w:val="5"/>
        </w:numPr>
        <w:jc w:val="both"/>
        <w:rPr>
          <w:rFonts w:ascii="Times New Roman" w:hAnsi="Times New Roman" w:cs="Times New Roman"/>
          <w:b/>
          <w:sz w:val="24"/>
          <w:szCs w:val="24"/>
        </w:rPr>
      </w:pPr>
      <w:r w:rsidRPr="00EB4AF2">
        <w:rPr>
          <w:rFonts w:ascii="Times New Roman" w:hAnsi="Times New Roman" w:cs="Times New Roman"/>
          <w:b/>
          <w:sz w:val="24"/>
          <w:szCs w:val="24"/>
        </w:rPr>
        <w:t>Aperçu historique</w:t>
      </w:r>
    </w:p>
    <w:p w:rsidR="0002737E" w:rsidRPr="00EB4AF2" w:rsidRDefault="00882B3C" w:rsidP="00EB4AF2">
      <w:pPr>
        <w:ind w:firstLine="360"/>
        <w:jc w:val="both"/>
        <w:rPr>
          <w:rFonts w:ascii="Times New Roman" w:hAnsi="Times New Roman" w:cs="Times New Roman"/>
          <w:sz w:val="24"/>
          <w:szCs w:val="24"/>
        </w:rPr>
      </w:pPr>
      <w:r w:rsidRPr="00EB4AF2">
        <w:rPr>
          <w:rFonts w:ascii="Times New Roman" w:hAnsi="Times New Roman" w:cs="Times New Roman"/>
          <w:sz w:val="24"/>
          <w:szCs w:val="24"/>
        </w:rPr>
        <w:t xml:space="preserve">La Kabylie a été habitée dès la préhistoire. Il existe </w:t>
      </w:r>
      <w:r w:rsidR="0002737E" w:rsidRPr="00EB4AF2">
        <w:rPr>
          <w:rFonts w:ascii="Times New Roman" w:hAnsi="Times New Roman" w:cs="Times New Roman"/>
          <w:sz w:val="24"/>
          <w:szCs w:val="24"/>
        </w:rPr>
        <w:t>environ</w:t>
      </w:r>
      <w:r w:rsidRPr="00EB4AF2">
        <w:rPr>
          <w:rFonts w:ascii="Times New Roman" w:hAnsi="Times New Roman" w:cs="Times New Roman"/>
          <w:sz w:val="24"/>
          <w:szCs w:val="24"/>
        </w:rPr>
        <w:t>130 sites encore visibles en Kabylie.</w:t>
      </w:r>
      <w:r w:rsidR="0002737E" w:rsidRPr="00EB4AF2">
        <w:rPr>
          <w:rFonts w:ascii="Times New Roman" w:hAnsi="Times New Roman" w:cs="Times New Roman"/>
          <w:sz w:val="24"/>
          <w:szCs w:val="24"/>
        </w:rPr>
        <w:t xml:space="preserve"> On y a trouvé des outils de pierre, mais aussi de quartz, grès ou silex en forme de bifaces, pointes de flèches, lames, grattoirs ou disques ainsi que des dessins. </w:t>
      </w:r>
    </w:p>
    <w:p w:rsidR="0002737E" w:rsidRPr="00EB4AF2" w:rsidRDefault="0002737E" w:rsidP="0002737E">
      <w:pPr>
        <w:ind w:firstLine="360"/>
        <w:jc w:val="both"/>
        <w:rPr>
          <w:rFonts w:ascii="Times New Roman" w:hAnsi="Times New Roman" w:cs="Times New Roman"/>
          <w:sz w:val="24"/>
          <w:szCs w:val="24"/>
        </w:rPr>
      </w:pPr>
      <w:r w:rsidRPr="00EB4AF2">
        <w:rPr>
          <w:rFonts w:ascii="Times New Roman" w:hAnsi="Times New Roman" w:cs="Times New Roman"/>
          <w:sz w:val="24"/>
          <w:szCs w:val="24"/>
        </w:rPr>
        <w:t>Des sites plus récents, près des Issers, près de la cote de Mizrana, au Cap Djinet-Tedles et Sigli et près d’Azeffoune et de Bougie. Ces lieux témoignent d’une vie locale de groupes humains considérés comme des néandertaliens ou Ibéro</w:t>
      </w:r>
      <w:r w:rsidR="007E7E21">
        <w:rPr>
          <w:rFonts w:ascii="Times New Roman" w:hAnsi="Times New Roman" w:cs="Times New Roman"/>
          <w:sz w:val="24"/>
          <w:szCs w:val="24"/>
        </w:rPr>
        <w:t>-</w:t>
      </w:r>
      <w:r w:rsidRPr="00EB4AF2">
        <w:rPr>
          <w:rFonts w:ascii="Times New Roman" w:hAnsi="Times New Roman" w:cs="Times New Roman"/>
          <w:sz w:val="24"/>
          <w:szCs w:val="24"/>
        </w:rPr>
        <w:t>maurusiens.</w:t>
      </w:r>
    </w:p>
    <w:p w:rsidR="0002737E" w:rsidRPr="00EB4AF2" w:rsidRDefault="0002737E" w:rsidP="0002737E">
      <w:pPr>
        <w:ind w:firstLine="360"/>
        <w:jc w:val="both"/>
        <w:rPr>
          <w:rFonts w:ascii="Times New Roman" w:hAnsi="Times New Roman" w:cs="Times New Roman"/>
          <w:sz w:val="24"/>
          <w:szCs w:val="24"/>
        </w:rPr>
      </w:pPr>
      <w:r w:rsidRPr="00EB4AF2">
        <w:rPr>
          <w:rFonts w:ascii="Times New Roman" w:hAnsi="Times New Roman" w:cs="Times New Roman"/>
          <w:sz w:val="24"/>
          <w:szCs w:val="24"/>
        </w:rPr>
        <w:t xml:space="preserve">Au Néolithique, d’autres emplacements ont été habités, des pointes de flèche finement travaillées. </w:t>
      </w:r>
    </w:p>
    <w:p w:rsidR="00DF7387" w:rsidRPr="00EB4AF2" w:rsidRDefault="00DF7387" w:rsidP="00DF7387">
      <w:pPr>
        <w:ind w:firstLine="360"/>
        <w:jc w:val="both"/>
        <w:rPr>
          <w:rFonts w:ascii="Times New Roman" w:hAnsi="Times New Roman" w:cs="Times New Roman"/>
          <w:sz w:val="24"/>
          <w:szCs w:val="24"/>
        </w:rPr>
      </w:pPr>
      <w:r w:rsidRPr="00EB4AF2">
        <w:rPr>
          <w:rFonts w:ascii="Times New Roman" w:hAnsi="Times New Roman" w:cs="Times New Roman"/>
          <w:sz w:val="24"/>
          <w:szCs w:val="24"/>
        </w:rPr>
        <w:lastRenderedPageBreak/>
        <w:t>Les textes les plus anciens qui signalaient des agriculteurs dans le nord de l’Afrique, sont ceux d’Hécatée (Le géographe d’Ionie) et de l’historien grec Hérodote. Ce sont les Grecs qui donnèrent le nom de Libyens aux habitants de l’Afrique du Nord, c’est-</w:t>
      </w:r>
      <w:r w:rsidR="00414766" w:rsidRPr="00EB4AF2">
        <w:rPr>
          <w:rFonts w:ascii="Times New Roman" w:hAnsi="Times New Roman" w:cs="Times New Roman"/>
          <w:sz w:val="24"/>
          <w:szCs w:val="24"/>
        </w:rPr>
        <w:t>à-dire les Berbères.</w:t>
      </w:r>
    </w:p>
    <w:p w:rsidR="00DF7387" w:rsidRPr="00EB4AF2" w:rsidRDefault="00DF7387" w:rsidP="00EB4AF2">
      <w:pPr>
        <w:ind w:firstLine="360"/>
        <w:jc w:val="both"/>
        <w:rPr>
          <w:rFonts w:ascii="Times New Roman" w:hAnsi="Times New Roman" w:cs="Times New Roman"/>
          <w:sz w:val="24"/>
          <w:szCs w:val="24"/>
        </w:rPr>
      </w:pPr>
      <w:r w:rsidRPr="00EB4AF2">
        <w:rPr>
          <w:rFonts w:ascii="Times New Roman" w:hAnsi="Times New Roman" w:cs="Times New Roman"/>
          <w:sz w:val="24"/>
          <w:szCs w:val="24"/>
        </w:rPr>
        <w:t xml:space="preserve">La résistance a toujours été et est toujours une des caractéristiques des Kabyles. En effet, nous avons des exemples </w:t>
      </w:r>
      <w:r w:rsidR="00EB4AF2" w:rsidRPr="00EB4AF2">
        <w:rPr>
          <w:rFonts w:ascii="Times New Roman" w:hAnsi="Times New Roman" w:cs="Times New Roman"/>
          <w:sz w:val="24"/>
          <w:szCs w:val="24"/>
        </w:rPr>
        <w:t>concrets</w:t>
      </w:r>
      <w:r w:rsidRPr="00EB4AF2">
        <w:rPr>
          <w:rFonts w:ascii="Times New Roman" w:hAnsi="Times New Roman" w:cs="Times New Roman"/>
          <w:sz w:val="24"/>
          <w:szCs w:val="24"/>
        </w:rPr>
        <w:t xml:space="preserve"> depuis l’antiquité, car comme le disait D. Kaltbrunner</w:t>
      </w:r>
      <w:r w:rsidRPr="00EB4AF2">
        <w:rPr>
          <w:rStyle w:val="Appelnotedebasdep"/>
          <w:rFonts w:ascii="Times New Roman" w:hAnsi="Times New Roman" w:cs="Times New Roman"/>
          <w:sz w:val="24"/>
          <w:szCs w:val="24"/>
        </w:rPr>
        <w:footnoteReference w:id="2"/>
      </w:r>
    </w:p>
    <w:p w:rsidR="00863C6D" w:rsidRPr="007B2215" w:rsidRDefault="00DF7387" w:rsidP="00DF7387">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L</w:t>
      </w:r>
      <w:r w:rsidR="00863C6D" w:rsidRPr="007B2215">
        <w:rPr>
          <w:rFonts w:ascii="Times New Roman" w:hAnsi="Times New Roman" w:cs="Times New Roman"/>
          <w:iCs/>
          <w:sz w:val="24"/>
          <w:szCs w:val="24"/>
        </w:rPr>
        <w:t xml:space="preserve">es romains une fois établis dans le pays, se trouvèrent aux prises avec des Quinquegentiani ou confédérations de cinq tribus, qui occupaient le massif montagneux compris entre Saldae (Bougie) et Resuccurum (Dellys) ou, en d’autres termes, le Mons Ferratus, (Djudjura), c’est-à-dire, ce que nous appelons aujourd’hui, la Grande Kabylie. </w:t>
      </w:r>
    </w:p>
    <w:p w:rsidR="006A5791" w:rsidRPr="007B2215" w:rsidRDefault="00863C6D" w:rsidP="0002737E">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 xml:space="preserve">La domination romaine dans les montagnes ne fut jamais très complète ; on doit </w:t>
      </w:r>
      <w:r w:rsidR="00DF7387" w:rsidRPr="007B2215">
        <w:rPr>
          <w:rFonts w:ascii="Times New Roman" w:hAnsi="Times New Roman" w:cs="Times New Roman"/>
          <w:iCs/>
          <w:sz w:val="24"/>
          <w:szCs w:val="24"/>
        </w:rPr>
        <w:t>même</w:t>
      </w:r>
      <w:r w:rsidRPr="007B2215">
        <w:rPr>
          <w:rFonts w:ascii="Times New Roman" w:hAnsi="Times New Roman" w:cs="Times New Roman"/>
          <w:iCs/>
          <w:sz w:val="24"/>
          <w:szCs w:val="24"/>
        </w:rPr>
        <w:t xml:space="preserve"> la considérer plutôt comme n’y ayant guère eu qu’un caractère passager et purement nominal. Outre que les troupes romaines y pénétrèrent rarement, le Djurdjura fut toujours </w:t>
      </w:r>
      <w:r w:rsidR="006A5791" w:rsidRPr="007B2215">
        <w:rPr>
          <w:rFonts w:ascii="Times New Roman" w:hAnsi="Times New Roman" w:cs="Times New Roman"/>
          <w:iCs/>
          <w:sz w:val="24"/>
          <w:szCs w:val="24"/>
        </w:rPr>
        <w:t xml:space="preserve">un foyer d’où partirent des insurrections continuelles, dont les noms de Tacfarinas, de Firmus et de Gildon, personnifient les principales. </w:t>
      </w:r>
    </w:p>
    <w:p w:rsidR="00414766" w:rsidRPr="007B2215" w:rsidRDefault="006A5791" w:rsidP="0002737E">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Antérieurement aux romains, de nombreuses colonies, dont les plus importantes furent Utique, Cyrène et Carthag</w:t>
      </w:r>
      <w:r w:rsidR="00BF7066">
        <w:rPr>
          <w:rFonts w:ascii="Times New Roman" w:hAnsi="Times New Roman" w:cs="Times New Roman"/>
          <w:iCs/>
          <w:sz w:val="24"/>
          <w:szCs w:val="24"/>
        </w:rPr>
        <w:t>e, avaient été fondées sur la cô</w:t>
      </w:r>
      <w:r w:rsidRPr="007B2215">
        <w:rPr>
          <w:rFonts w:ascii="Times New Roman" w:hAnsi="Times New Roman" w:cs="Times New Roman"/>
          <w:iCs/>
          <w:sz w:val="24"/>
          <w:szCs w:val="24"/>
        </w:rPr>
        <w:t>te septentrionale de l’Afrique. Toutes, sans exception, trouvèrent le pays déjà occupé, et les indigènes d’alors, tel que leur nom nous a été transmis, étaient les libyens.</w:t>
      </w:r>
    </w:p>
    <w:p w:rsidR="00B73B08" w:rsidRPr="007B2215" w:rsidRDefault="00414766" w:rsidP="0002737E">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Au XIème siècle, nous apprend Ibn-Khaldoun, le domaine Kabyle s’étendait sur un territoire compris entre l’actuelle Annaba à l’Est, Cherchell au Nord et les moins sahariens au sud. Trois groupements importants de populations y évoluèrent : les Sanhadja</w:t>
      </w:r>
      <w:r w:rsidR="001011CD" w:rsidRPr="007B2215">
        <w:rPr>
          <w:rFonts w:ascii="Times New Roman" w:hAnsi="Times New Roman" w:cs="Times New Roman"/>
          <w:iCs/>
          <w:sz w:val="24"/>
          <w:szCs w:val="24"/>
        </w:rPr>
        <w:t xml:space="preserve"> à l’ouest de Dellys, les Igawawen, qu’il appelle Zouaoua, entre Dellys et Bougie et les Kotama entre Bougie et Annaba.</w:t>
      </w:r>
    </w:p>
    <w:p w:rsidR="00AB5EB7" w:rsidRPr="007B2215" w:rsidRDefault="00AB5EB7" w:rsidP="0002737E">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Le peuple Kabyle toujours résistant, a tenu t</w:t>
      </w:r>
      <w:r w:rsidR="007B2215" w:rsidRPr="007B2215">
        <w:rPr>
          <w:rFonts w:ascii="Times New Roman" w:hAnsi="Times New Roman" w:cs="Times New Roman"/>
          <w:iCs/>
          <w:sz w:val="24"/>
          <w:szCs w:val="24"/>
        </w:rPr>
        <w:t>ê</w:t>
      </w:r>
      <w:r w:rsidRPr="007B2215">
        <w:rPr>
          <w:rFonts w:ascii="Times New Roman" w:hAnsi="Times New Roman" w:cs="Times New Roman"/>
          <w:iCs/>
          <w:sz w:val="24"/>
          <w:szCs w:val="24"/>
        </w:rPr>
        <w:t xml:space="preserve">te à la colonisation française et a lutté pour ses droits depuis 1830 à 1962. Nous avons dans ce contexte de nombreux </w:t>
      </w:r>
      <w:r w:rsidR="00BF7066">
        <w:rPr>
          <w:rFonts w:ascii="Times New Roman" w:hAnsi="Times New Roman" w:cs="Times New Roman"/>
          <w:iCs/>
          <w:sz w:val="24"/>
          <w:szCs w:val="24"/>
        </w:rPr>
        <w:t xml:space="preserve">exemples de martyrs en général. </w:t>
      </w:r>
      <w:r w:rsidRPr="007B2215">
        <w:rPr>
          <w:rFonts w:ascii="Times New Roman" w:hAnsi="Times New Roman" w:cs="Times New Roman"/>
          <w:iCs/>
          <w:sz w:val="24"/>
          <w:szCs w:val="24"/>
        </w:rPr>
        <w:t>Lalla Fadma n Soumer, Cheikh Bou Baghla, Abane</w:t>
      </w:r>
      <w:r w:rsidR="00BF7066">
        <w:rPr>
          <w:rFonts w:ascii="Times New Roman" w:hAnsi="Times New Roman" w:cs="Times New Roman"/>
          <w:iCs/>
          <w:sz w:val="24"/>
          <w:szCs w:val="24"/>
        </w:rPr>
        <w:t xml:space="preserve"> </w:t>
      </w:r>
      <w:r w:rsidRPr="007B2215">
        <w:rPr>
          <w:rFonts w:ascii="Times New Roman" w:hAnsi="Times New Roman" w:cs="Times New Roman"/>
          <w:iCs/>
          <w:sz w:val="24"/>
          <w:szCs w:val="24"/>
        </w:rPr>
        <w:t>Ramdane, Krim Belkacem, Amirouche Ait Hamouda, … etc</w:t>
      </w:r>
    </w:p>
    <w:p w:rsidR="007E7E21" w:rsidRDefault="00AB5EB7" w:rsidP="007E7E21">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 xml:space="preserve">Aujourd’hui encore, la Kabylie est toujours rebelle et </w:t>
      </w:r>
      <w:r w:rsidR="000B7491" w:rsidRPr="007B2215">
        <w:rPr>
          <w:rFonts w:ascii="Times New Roman" w:hAnsi="Times New Roman" w:cs="Times New Roman"/>
          <w:iCs/>
          <w:sz w:val="24"/>
          <w:szCs w:val="24"/>
        </w:rPr>
        <w:t>préservatrice de se</w:t>
      </w:r>
      <w:r w:rsidR="007E7E21">
        <w:rPr>
          <w:rFonts w:ascii="Times New Roman" w:hAnsi="Times New Roman" w:cs="Times New Roman"/>
          <w:iCs/>
          <w:sz w:val="24"/>
          <w:szCs w:val="24"/>
        </w:rPr>
        <w:t>s mœurs et identité millénaires.</w:t>
      </w:r>
    </w:p>
    <w:p w:rsidR="00257F55" w:rsidRPr="00BF7066" w:rsidRDefault="00257F55" w:rsidP="00257F55">
      <w:pPr>
        <w:pStyle w:val="Paragraphedeliste"/>
        <w:numPr>
          <w:ilvl w:val="0"/>
          <w:numId w:val="5"/>
        </w:numPr>
        <w:jc w:val="both"/>
        <w:rPr>
          <w:rFonts w:ascii="Times New Roman" w:hAnsi="Times New Roman" w:cs="Times New Roman"/>
          <w:b/>
          <w:iCs/>
          <w:sz w:val="24"/>
          <w:szCs w:val="24"/>
        </w:rPr>
      </w:pPr>
      <w:r w:rsidRPr="00BF7066">
        <w:rPr>
          <w:rFonts w:ascii="Times New Roman" w:hAnsi="Times New Roman" w:cs="Times New Roman"/>
          <w:b/>
          <w:iCs/>
          <w:sz w:val="24"/>
          <w:szCs w:val="24"/>
        </w:rPr>
        <w:t>Habitat Kabyle</w:t>
      </w:r>
    </w:p>
    <w:p w:rsidR="00257F55" w:rsidRDefault="00257F55" w:rsidP="00257F55">
      <w:pPr>
        <w:ind w:firstLine="360"/>
        <w:jc w:val="both"/>
        <w:rPr>
          <w:rFonts w:ascii="Times New Roman" w:hAnsi="Times New Roman" w:cs="Times New Roman"/>
          <w:iCs/>
          <w:sz w:val="24"/>
          <w:szCs w:val="24"/>
        </w:rPr>
      </w:pPr>
      <w:r w:rsidRPr="00257F55">
        <w:rPr>
          <w:rFonts w:ascii="Times New Roman" w:hAnsi="Times New Roman" w:cs="Times New Roman"/>
          <w:iCs/>
          <w:sz w:val="24"/>
          <w:szCs w:val="24"/>
        </w:rPr>
        <w:t>Les constructions Kabyles étaient de forme</w:t>
      </w:r>
      <w:r>
        <w:rPr>
          <w:rFonts w:ascii="Times New Roman" w:hAnsi="Times New Roman" w:cs="Times New Roman"/>
          <w:iCs/>
          <w:sz w:val="24"/>
          <w:szCs w:val="24"/>
        </w:rPr>
        <w:t>s</w:t>
      </w:r>
      <w:r w:rsidRPr="00257F55">
        <w:rPr>
          <w:rFonts w:ascii="Times New Roman" w:hAnsi="Times New Roman" w:cs="Times New Roman"/>
          <w:iCs/>
          <w:sz w:val="24"/>
          <w:szCs w:val="24"/>
        </w:rPr>
        <w:t xml:space="preserve"> oblongues rudimentaires, elles étaient construites </w:t>
      </w:r>
      <w:r>
        <w:rPr>
          <w:rFonts w:ascii="Times New Roman" w:hAnsi="Times New Roman" w:cs="Times New Roman"/>
          <w:iCs/>
          <w:sz w:val="24"/>
          <w:szCs w:val="24"/>
        </w:rPr>
        <w:t xml:space="preserve">en pierres sèches et consolidées par de la bouse de vache comme enduit. Le toit était souvent en paille, rarement en tuiles. </w:t>
      </w:r>
    </w:p>
    <w:p w:rsidR="00656B04" w:rsidRPr="00257F55" w:rsidRDefault="00656B04" w:rsidP="00257F55">
      <w:pPr>
        <w:ind w:firstLine="360"/>
        <w:jc w:val="both"/>
        <w:rPr>
          <w:rFonts w:ascii="Times New Roman" w:hAnsi="Times New Roman" w:cs="Times New Roman"/>
          <w:iCs/>
          <w:sz w:val="24"/>
          <w:szCs w:val="24"/>
        </w:rPr>
      </w:pPr>
      <w:r>
        <w:rPr>
          <w:rFonts w:ascii="Times New Roman" w:hAnsi="Times New Roman" w:cs="Times New Roman"/>
          <w:iCs/>
          <w:sz w:val="24"/>
          <w:szCs w:val="24"/>
        </w:rPr>
        <w:t xml:space="preserve">Elles se composaient de deux pièces : la première servait à loger tous les membres de la famille. C’était une pièce enfumée basse et obscure, elle n’avait comme ouverture que la porte, elle se divisait en deux </w:t>
      </w:r>
      <w:r w:rsidR="00895967">
        <w:rPr>
          <w:rFonts w:ascii="Times New Roman" w:hAnsi="Times New Roman" w:cs="Times New Roman"/>
          <w:iCs/>
          <w:sz w:val="24"/>
          <w:szCs w:val="24"/>
        </w:rPr>
        <w:t xml:space="preserve">fractions : l’une qui servait de chambre à coucher, de salle à </w:t>
      </w:r>
      <w:r w:rsidR="00895967">
        <w:rPr>
          <w:rFonts w:ascii="Times New Roman" w:hAnsi="Times New Roman" w:cs="Times New Roman"/>
          <w:iCs/>
          <w:sz w:val="24"/>
          <w:szCs w:val="24"/>
        </w:rPr>
        <w:lastRenderedPageBreak/>
        <w:t xml:space="preserve">manger, de cuisine et au fond abritait le foyer. L’autre servait de magasin pour ranger les provisions et les cueillettes. A la place de la cave, en contrebas du logis, on trouve la seconde pièce qui sert d’étable pour le bétail. Et pour y accéder, on est obligé de passer par la pièce familiale ; un point que les Français avaient vivement critiqué vu que pour eux, la division de l’espace </w:t>
      </w:r>
      <w:r>
        <w:rPr>
          <w:rFonts w:ascii="Times New Roman" w:hAnsi="Times New Roman" w:cs="Times New Roman"/>
          <w:iCs/>
          <w:sz w:val="24"/>
          <w:szCs w:val="24"/>
        </w:rPr>
        <w:t xml:space="preserve"> </w:t>
      </w:r>
      <w:r w:rsidR="00895967">
        <w:rPr>
          <w:rFonts w:ascii="Times New Roman" w:hAnsi="Times New Roman" w:cs="Times New Roman"/>
          <w:iCs/>
          <w:sz w:val="24"/>
          <w:szCs w:val="24"/>
        </w:rPr>
        <w:t xml:space="preserve">réservé à la famille et l’espace </w:t>
      </w:r>
      <w:r w:rsidR="001D23C9">
        <w:rPr>
          <w:rFonts w:ascii="Times New Roman" w:hAnsi="Times New Roman" w:cs="Times New Roman"/>
          <w:iCs/>
          <w:sz w:val="24"/>
          <w:szCs w:val="24"/>
        </w:rPr>
        <w:t>réservé à leurs animaux est obligatoire, par souci d’hygiène sanitaire. Le mobilier Kabyle se constitue de quelques jarres de terre contre les murailles pour conserver le lait et le beurre, de paniers pour le grain, de nattes de palmier de jonc qu’on met sur une estrade mise en étage, un meuble en forme de coffre qui contient tous les objets précieux ; avec des tiroirs dont lesquels on dépose les bijoux et les accessoires dont la femme a besoin pour se parer et se faire belle.</w:t>
      </w:r>
    </w:p>
    <w:p w:rsidR="000B7491" w:rsidRPr="007B2215" w:rsidRDefault="000B7491" w:rsidP="0002737E">
      <w:pPr>
        <w:ind w:firstLine="360"/>
        <w:jc w:val="both"/>
        <w:rPr>
          <w:rFonts w:ascii="Times New Roman" w:hAnsi="Times New Roman" w:cs="Times New Roman"/>
          <w:iCs/>
          <w:sz w:val="24"/>
          <w:szCs w:val="24"/>
        </w:rPr>
      </w:pPr>
    </w:p>
    <w:p w:rsidR="00BB4F9D" w:rsidRPr="00A064A8" w:rsidRDefault="007B2215" w:rsidP="00A064A8">
      <w:pPr>
        <w:pStyle w:val="Paragraphedeliste"/>
        <w:numPr>
          <w:ilvl w:val="0"/>
          <w:numId w:val="5"/>
        </w:numPr>
        <w:jc w:val="both"/>
        <w:rPr>
          <w:rFonts w:ascii="Times New Roman" w:hAnsi="Times New Roman" w:cs="Times New Roman"/>
          <w:b/>
          <w:bCs/>
          <w:iCs/>
          <w:sz w:val="24"/>
          <w:szCs w:val="24"/>
        </w:rPr>
      </w:pPr>
      <w:r w:rsidRPr="00A064A8">
        <w:rPr>
          <w:rFonts w:ascii="Times New Roman" w:hAnsi="Times New Roman" w:cs="Times New Roman"/>
          <w:b/>
          <w:bCs/>
          <w:iCs/>
          <w:sz w:val="24"/>
          <w:szCs w:val="24"/>
        </w:rPr>
        <w:t>O</w:t>
      </w:r>
      <w:r w:rsidR="00023FE4" w:rsidRPr="00A064A8">
        <w:rPr>
          <w:rFonts w:ascii="Times New Roman" w:hAnsi="Times New Roman" w:cs="Times New Roman"/>
          <w:b/>
          <w:bCs/>
          <w:iCs/>
          <w:sz w:val="24"/>
          <w:szCs w:val="24"/>
        </w:rPr>
        <w:t>rganisation soci</w:t>
      </w:r>
      <w:r w:rsidR="00A064A8" w:rsidRPr="00A064A8">
        <w:rPr>
          <w:rFonts w:ascii="Times New Roman" w:hAnsi="Times New Roman" w:cs="Times New Roman"/>
          <w:b/>
          <w:bCs/>
          <w:iCs/>
          <w:sz w:val="24"/>
          <w:szCs w:val="24"/>
        </w:rPr>
        <w:t>o</w:t>
      </w:r>
      <w:r w:rsidR="00023FE4" w:rsidRPr="00A064A8">
        <w:rPr>
          <w:rFonts w:ascii="Times New Roman" w:hAnsi="Times New Roman" w:cs="Times New Roman"/>
          <w:b/>
          <w:bCs/>
          <w:iCs/>
          <w:sz w:val="24"/>
          <w:szCs w:val="24"/>
        </w:rPr>
        <w:t>politique</w:t>
      </w:r>
    </w:p>
    <w:p w:rsidR="007B2215" w:rsidRPr="007B2215" w:rsidRDefault="007B2215" w:rsidP="007B2215">
      <w:pPr>
        <w:pStyle w:val="Paragraphedeliste"/>
        <w:jc w:val="both"/>
        <w:rPr>
          <w:rFonts w:ascii="Times New Roman" w:hAnsi="Times New Roman" w:cs="Times New Roman"/>
          <w:b/>
          <w:bCs/>
          <w:iCs/>
          <w:sz w:val="24"/>
          <w:szCs w:val="24"/>
        </w:rPr>
      </w:pPr>
    </w:p>
    <w:p w:rsidR="00023FE4" w:rsidRPr="00EB4AF2" w:rsidRDefault="000069C8" w:rsidP="00EB4AF2">
      <w:pPr>
        <w:pStyle w:val="Paragraphedeliste"/>
        <w:numPr>
          <w:ilvl w:val="0"/>
          <w:numId w:val="3"/>
        </w:numPr>
        <w:jc w:val="both"/>
        <w:rPr>
          <w:rFonts w:ascii="Times New Roman" w:hAnsi="Times New Roman" w:cs="Times New Roman"/>
          <w:b/>
          <w:sz w:val="24"/>
          <w:szCs w:val="24"/>
        </w:rPr>
      </w:pPr>
      <w:r w:rsidRPr="00EB4AF2">
        <w:rPr>
          <w:rFonts w:ascii="Times New Roman" w:hAnsi="Times New Roman" w:cs="Times New Roman"/>
          <w:b/>
          <w:sz w:val="24"/>
          <w:szCs w:val="24"/>
        </w:rPr>
        <w:t>S</w:t>
      </w:r>
      <w:r w:rsidR="00023FE4" w:rsidRPr="00EB4AF2">
        <w:rPr>
          <w:rFonts w:ascii="Times New Roman" w:hAnsi="Times New Roman" w:cs="Times New Roman"/>
          <w:b/>
          <w:sz w:val="24"/>
          <w:szCs w:val="24"/>
        </w:rPr>
        <w:t xml:space="preserve">tructures </w:t>
      </w:r>
      <w:r w:rsidRPr="00EB4AF2">
        <w:rPr>
          <w:rFonts w:ascii="Times New Roman" w:hAnsi="Times New Roman" w:cs="Times New Roman"/>
          <w:b/>
          <w:sz w:val="24"/>
          <w:szCs w:val="24"/>
        </w:rPr>
        <w:t>et fonctionnement</w:t>
      </w:r>
      <w:r w:rsidR="00023FE4" w:rsidRPr="00EB4AF2">
        <w:rPr>
          <w:rFonts w:ascii="Times New Roman" w:hAnsi="Times New Roman" w:cs="Times New Roman"/>
          <w:b/>
          <w:sz w:val="24"/>
          <w:szCs w:val="24"/>
        </w:rPr>
        <w:t> </w:t>
      </w:r>
    </w:p>
    <w:p w:rsidR="00E61FC1" w:rsidRPr="00EB4AF2" w:rsidRDefault="00E61FC1"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Tous les villages se ressemblent dans leurs structures et dans leur situation géographique et l’étude d’un seul suff</w:t>
      </w:r>
      <w:r w:rsidR="0062780D">
        <w:rPr>
          <w:rFonts w:ascii="Times New Roman" w:hAnsi="Times New Roman" w:cs="Times New Roman"/>
          <w:sz w:val="24"/>
          <w:szCs w:val="24"/>
        </w:rPr>
        <w:t>i</w:t>
      </w:r>
      <w:r w:rsidRPr="00EB4AF2">
        <w:rPr>
          <w:rFonts w:ascii="Times New Roman" w:hAnsi="Times New Roman" w:cs="Times New Roman"/>
          <w:sz w:val="24"/>
          <w:szCs w:val="24"/>
        </w:rPr>
        <w:t xml:space="preserve">t pour comprendre toute l’organisation sociale et politique des communautés villageoises. L’unité sociopolitique et économique de base de la société Kabyle est la famille élargie : </w:t>
      </w:r>
      <w:r w:rsidRPr="00EB4AF2">
        <w:rPr>
          <w:rFonts w:ascii="Times New Roman" w:hAnsi="Times New Roman" w:cs="Times New Roman"/>
          <w:b/>
          <w:sz w:val="24"/>
          <w:szCs w:val="24"/>
        </w:rPr>
        <w:t>Axxam.</w:t>
      </w:r>
    </w:p>
    <w:p w:rsidR="00E61FC1" w:rsidRPr="00EB4AF2" w:rsidRDefault="00E61FC1" w:rsidP="00EB4AF2">
      <w:pPr>
        <w:pStyle w:val="Paragraphedeliste"/>
        <w:numPr>
          <w:ilvl w:val="0"/>
          <w:numId w:val="4"/>
        </w:numPr>
        <w:jc w:val="both"/>
        <w:rPr>
          <w:rFonts w:ascii="Times New Roman" w:hAnsi="Times New Roman" w:cs="Times New Roman"/>
          <w:iCs/>
          <w:sz w:val="24"/>
          <w:szCs w:val="24"/>
        </w:rPr>
      </w:pPr>
      <w:r w:rsidRPr="00EB4AF2">
        <w:rPr>
          <w:rFonts w:ascii="Times New Roman" w:hAnsi="Times New Roman" w:cs="Times New Roman"/>
          <w:b/>
          <w:bCs/>
          <w:i/>
          <w:iCs/>
          <w:sz w:val="24"/>
          <w:szCs w:val="24"/>
        </w:rPr>
        <w:t>Axxam (La famille étendue)</w:t>
      </w:r>
      <w:r w:rsidR="001A0935" w:rsidRPr="00EB4AF2">
        <w:rPr>
          <w:rFonts w:ascii="Times New Roman" w:hAnsi="Times New Roman" w:cs="Times New Roman"/>
          <w:b/>
          <w:bCs/>
          <w:i/>
          <w:iCs/>
          <w:sz w:val="24"/>
          <w:szCs w:val="24"/>
        </w:rPr>
        <w:t xml:space="preserve"> : </w:t>
      </w:r>
      <w:r w:rsidRPr="00EB4AF2">
        <w:rPr>
          <w:rFonts w:ascii="Times New Roman" w:hAnsi="Times New Roman" w:cs="Times New Roman"/>
          <w:iCs/>
          <w:sz w:val="24"/>
          <w:szCs w:val="24"/>
        </w:rPr>
        <w:t xml:space="preserve">c’est la première cellule de base de la société berbère traditionnelle : elle réunit sous le même toit plusieurs générations et plusieurs ménages. Les fils mariés et parfois les petits fils mariés continuent à vivre sous le même toit. Quand l’espace manque, on ajoute de nouvelles pièces à la maison. Parfois, sur décision de l’aïeul, les enfants ainés reçoivent leurs parts de l’héritage et fondent à leur tour un foyer. </w:t>
      </w:r>
      <w:r w:rsidR="000069C8" w:rsidRPr="00EB4AF2">
        <w:rPr>
          <w:rFonts w:ascii="Times New Roman" w:hAnsi="Times New Roman" w:cs="Times New Roman"/>
          <w:iCs/>
          <w:sz w:val="24"/>
          <w:szCs w:val="24"/>
        </w:rPr>
        <w:t>La famille dans la société n’est pas seulement une source de sécurité, mais aussi un élément de continuité pour toute la société.</w:t>
      </w:r>
    </w:p>
    <w:p w:rsidR="00E61FC1" w:rsidRPr="00EB4AF2" w:rsidRDefault="00E61FC1" w:rsidP="00EB4AF2">
      <w:pPr>
        <w:pStyle w:val="Paragraphedeliste"/>
        <w:numPr>
          <w:ilvl w:val="0"/>
          <w:numId w:val="4"/>
        </w:numPr>
        <w:jc w:val="both"/>
        <w:rPr>
          <w:rFonts w:ascii="Times New Roman" w:hAnsi="Times New Roman" w:cs="Times New Roman"/>
          <w:iCs/>
          <w:sz w:val="24"/>
          <w:szCs w:val="24"/>
        </w:rPr>
      </w:pPr>
      <w:r w:rsidRPr="00EB4AF2">
        <w:rPr>
          <w:rFonts w:ascii="Times New Roman" w:hAnsi="Times New Roman" w:cs="Times New Roman"/>
          <w:b/>
          <w:bCs/>
          <w:sz w:val="24"/>
          <w:szCs w:val="24"/>
        </w:rPr>
        <w:t>Taxerrubt (fraction)</w:t>
      </w:r>
      <w:r w:rsidR="001A0935" w:rsidRPr="00EB4AF2">
        <w:rPr>
          <w:rFonts w:ascii="Times New Roman" w:hAnsi="Times New Roman" w:cs="Times New Roman"/>
          <w:b/>
          <w:bCs/>
          <w:sz w:val="24"/>
          <w:szCs w:val="24"/>
        </w:rPr>
        <w:t> :</w:t>
      </w:r>
      <w:r w:rsidR="001A0935" w:rsidRPr="00EB4AF2">
        <w:rPr>
          <w:rFonts w:ascii="Times New Roman" w:hAnsi="Times New Roman" w:cs="Times New Roman"/>
          <w:sz w:val="24"/>
          <w:szCs w:val="24"/>
        </w:rPr>
        <w:t>c’</w:t>
      </w:r>
      <w:r w:rsidRPr="00EB4AF2">
        <w:rPr>
          <w:rFonts w:ascii="Times New Roman" w:hAnsi="Times New Roman" w:cs="Times New Roman"/>
          <w:sz w:val="24"/>
          <w:szCs w:val="24"/>
        </w:rPr>
        <w:t xml:space="preserve">est l’extension de la famille élargie. Elle occupe un espace bien défini. Avant l’introduction du nom patronymique, par l’administration coloniale, les membres de Taxerrubt (fraction), s’identifiaient à son nom. Un ensemble de tixerrubin (fractions) composent adrum (le quartier). Cependant, imsenden ou iberraniyen (familles étrangères) qui se trouvent dans le village, s’insèrent dans les différentes fractions. </w:t>
      </w:r>
    </w:p>
    <w:p w:rsidR="00A542D6" w:rsidRPr="00EB4AF2" w:rsidRDefault="00E61FC1" w:rsidP="00EB4AF2">
      <w:pPr>
        <w:pStyle w:val="Paragraphedeliste"/>
        <w:numPr>
          <w:ilvl w:val="0"/>
          <w:numId w:val="4"/>
        </w:numPr>
        <w:jc w:val="both"/>
        <w:rPr>
          <w:rFonts w:ascii="Times New Roman" w:hAnsi="Times New Roman" w:cs="Times New Roman"/>
          <w:sz w:val="24"/>
          <w:szCs w:val="24"/>
        </w:rPr>
      </w:pPr>
      <w:r w:rsidRPr="00EB4AF2">
        <w:rPr>
          <w:rFonts w:ascii="Times New Roman" w:hAnsi="Times New Roman" w:cs="Times New Roman"/>
          <w:b/>
          <w:bCs/>
          <w:sz w:val="24"/>
          <w:szCs w:val="24"/>
        </w:rPr>
        <w:t>Adrum (quartier)</w:t>
      </w:r>
      <w:r w:rsidR="00A542D6" w:rsidRPr="00EB4AF2">
        <w:rPr>
          <w:rFonts w:ascii="Times New Roman" w:hAnsi="Times New Roman" w:cs="Times New Roman"/>
          <w:sz w:val="24"/>
          <w:szCs w:val="24"/>
        </w:rPr>
        <w:t xml:space="preserve"> : il arrive que plusieurs ixerban aient des liens de solidarité supplémentaires, elles se groupent alors en Adrum. </w:t>
      </w:r>
    </w:p>
    <w:p w:rsidR="00E61FC1" w:rsidRPr="00EB4AF2" w:rsidRDefault="00E61FC1" w:rsidP="00EB4AF2">
      <w:pPr>
        <w:pStyle w:val="Paragraphedeliste"/>
        <w:numPr>
          <w:ilvl w:val="0"/>
          <w:numId w:val="4"/>
        </w:numPr>
        <w:jc w:val="both"/>
        <w:rPr>
          <w:rFonts w:ascii="Times New Roman" w:hAnsi="Times New Roman" w:cs="Times New Roman"/>
          <w:sz w:val="24"/>
          <w:szCs w:val="24"/>
        </w:rPr>
      </w:pPr>
      <w:r w:rsidRPr="00EB4AF2">
        <w:rPr>
          <w:rFonts w:ascii="Times New Roman" w:hAnsi="Times New Roman" w:cs="Times New Roman"/>
          <w:b/>
          <w:bCs/>
          <w:sz w:val="24"/>
          <w:szCs w:val="24"/>
        </w:rPr>
        <w:t>Taddart (le village)</w:t>
      </w:r>
      <w:r w:rsidRPr="00EB4AF2">
        <w:rPr>
          <w:rFonts w:ascii="Times New Roman" w:hAnsi="Times New Roman" w:cs="Times New Roman"/>
          <w:sz w:val="24"/>
          <w:szCs w:val="24"/>
        </w:rPr>
        <w:t>:</w:t>
      </w:r>
      <w:r w:rsidR="00A542D6" w:rsidRPr="00EB4AF2">
        <w:rPr>
          <w:rFonts w:ascii="Times New Roman" w:hAnsi="Times New Roman" w:cs="Times New Roman"/>
          <w:sz w:val="24"/>
          <w:szCs w:val="24"/>
        </w:rPr>
        <w:t>c’est une unité politique et administrative fondamentale de la société Kabyle, elle a son territoire propre. Taddart est donc formée par plusieurs iderma</w:t>
      </w:r>
      <w:r w:rsidRPr="00EB4AF2">
        <w:rPr>
          <w:rFonts w:ascii="Times New Roman" w:hAnsi="Times New Roman" w:cs="Times New Roman"/>
          <w:sz w:val="24"/>
          <w:szCs w:val="24"/>
        </w:rPr>
        <w:t>des villages s’unissent et forment</w:t>
      </w:r>
      <w:r w:rsidR="00A542D6" w:rsidRPr="00EB4AF2">
        <w:rPr>
          <w:rFonts w:ascii="Times New Roman" w:hAnsi="Times New Roman" w:cs="Times New Roman"/>
          <w:sz w:val="24"/>
          <w:szCs w:val="24"/>
        </w:rPr>
        <w:t xml:space="preserve">. Les habitants tournent le dos </w:t>
      </w:r>
      <w:r w:rsidR="00904E3B" w:rsidRPr="00EB4AF2">
        <w:rPr>
          <w:rFonts w:ascii="Times New Roman" w:hAnsi="Times New Roman" w:cs="Times New Roman"/>
          <w:sz w:val="24"/>
          <w:szCs w:val="24"/>
        </w:rPr>
        <w:t xml:space="preserve">à l’extérieur et forment une enceinte, ce qui rend la défense aisée. </w:t>
      </w:r>
    </w:p>
    <w:p w:rsidR="00E61FC1" w:rsidRPr="00EB4AF2" w:rsidRDefault="00E61FC1" w:rsidP="00EB4AF2">
      <w:pPr>
        <w:pStyle w:val="Paragraphedeliste"/>
        <w:numPr>
          <w:ilvl w:val="0"/>
          <w:numId w:val="4"/>
        </w:numPr>
        <w:jc w:val="both"/>
        <w:rPr>
          <w:rFonts w:ascii="Times New Roman" w:hAnsi="Times New Roman" w:cs="Times New Roman"/>
          <w:sz w:val="24"/>
          <w:szCs w:val="24"/>
        </w:rPr>
      </w:pPr>
      <w:r w:rsidRPr="00EB4AF2">
        <w:rPr>
          <w:rFonts w:ascii="Times New Roman" w:hAnsi="Times New Roman" w:cs="Times New Roman"/>
          <w:b/>
          <w:bCs/>
          <w:sz w:val="24"/>
          <w:szCs w:val="24"/>
        </w:rPr>
        <w:t>lâarch (tribu) :</w:t>
      </w:r>
      <w:r w:rsidR="00904E3B" w:rsidRPr="00EB4AF2">
        <w:rPr>
          <w:rFonts w:ascii="Times New Roman" w:hAnsi="Times New Roman" w:cs="Times New Roman"/>
          <w:sz w:val="24"/>
          <w:szCs w:val="24"/>
        </w:rPr>
        <w:t>c’est un ensemble de villages dont le nom est celui d’un anc</w:t>
      </w:r>
      <w:r w:rsidR="00890F2A">
        <w:rPr>
          <w:rFonts w:ascii="Times New Roman" w:hAnsi="Times New Roman" w:cs="Times New Roman"/>
          <w:sz w:val="24"/>
          <w:szCs w:val="24"/>
        </w:rPr>
        <w:t>ê</w:t>
      </w:r>
      <w:r w:rsidR="00904E3B" w:rsidRPr="00EB4AF2">
        <w:rPr>
          <w:rFonts w:ascii="Times New Roman" w:hAnsi="Times New Roman" w:cs="Times New Roman"/>
          <w:sz w:val="24"/>
          <w:szCs w:val="24"/>
        </w:rPr>
        <w:t>tre plus mythique que ré</w:t>
      </w:r>
      <w:r w:rsidR="00890F2A">
        <w:rPr>
          <w:rFonts w:ascii="Times New Roman" w:hAnsi="Times New Roman" w:cs="Times New Roman"/>
          <w:sz w:val="24"/>
          <w:szCs w:val="24"/>
        </w:rPr>
        <w:t>e</w:t>
      </w:r>
      <w:r w:rsidR="00904E3B" w:rsidRPr="00EB4AF2">
        <w:rPr>
          <w:rFonts w:ascii="Times New Roman" w:hAnsi="Times New Roman" w:cs="Times New Roman"/>
          <w:sz w:val="24"/>
          <w:szCs w:val="24"/>
        </w:rPr>
        <w:t>l. Il avait une assemblée propre comp</w:t>
      </w:r>
      <w:r w:rsidR="00890F2A">
        <w:rPr>
          <w:rFonts w:ascii="Times New Roman" w:hAnsi="Times New Roman" w:cs="Times New Roman"/>
          <w:sz w:val="24"/>
          <w:szCs w:val="24"/>
        </w:rPr>
        <w:t>o</w:t>
      </w:r>
      <w:r w:rsidR="00904E3B" w:rsidRPr="00EB4AF2">
        <w:rPr>
          <w:rFonts w:ascii="Times New Roman" w:hAnsi="Times New Roman" w:cs="Times New Roman"/>
          <w:sz w:val="24"/>
          <w:szCs w:val="24"/>
        </w:rPr>
        <w:t xml:space="preserve">sée des représentants du village. </w:t>
      </w:r>
    </w:p>
    <w:p w:rsidR="00E61FC1" w:rsidRPr="00EB4AF2" w:rsidRDefault="00E61FC1" w:rsidP="00EB4AF2">
      <w:pPr>
        <w:pStyle w:val="Paragraphedeliste"/>
        <w:numPr>
          <w:ilvl w:val="0"/>
          <w:numId w:val="4"/>
        </w:numPr>
        <w:jc w:val="both"/>
        <w:rPr>
          <w:rFonts w:ascii="Times New Roman" w:hAnsi="Times New Roman" w:cs="Times New Roman"/>
          <w:sz w:val="24"/>
          <w:szCs w:val="24"/>
        </w:rPr>
      </w:pPr>
      <w:r w:rsidRPr="00EB4AF2">
        <w:rPr>
          <w:rFonts w:ascii="Times New Roman" w:hAnsi="Times New Roman" w:cs="Times New Roman"/>
          <w:b/>
          <w:bCs/>
          <w:sz w:val="24"/>
          <w:szCs w:val="24"/>
        </w:rPr>
        <w:lastRenderedPageBreak/>
        <w:t xml:space="preserve">Taqbilt (Une confédération) : </w:t>
      </w:r>
      <w:r w:rsidR="00904E3B" w:rsidRPr="00EB4AF2">
        <w:rPr>
          <w:rFonts w:ascii="Times New Roman" w:hAnsi="Times New Roman" w:cs="Times New Roman"/>
          <w:bCs/>
          <w:sz w:val="24"/>
          <w:szCs w:val="24"/>
        </w:rPr>
        <w:t>c’est une unité difficile à définir. Elle regroupe plusieurs archs. Dans ce sens écrivent Hanoteaux et Letourneux « Ce dernier terme de la série fédérative</w:t>
      </w:r>
      <w:r w:rsidR="009E7DB9">
        <w:rPr>
          <w:rFonts w:ascii="Times New Roman" w:hAnsi="Times New Roman" w:cs="Times New Roman"/>
          <w:bCs/>
          <w:sz w:val="24"/>
          <w:szCs w:val="24"/>
        </w:rPr>
        <w:t xml:space="preserve"> </w:t>
      </w:r>
      <w:r w:rsidR="00904E3B" w:rsidRPr="00EB4AF2">
        <w:rPr>
          <w:rFonts w:ascii="Times New Roman" w:hAnsi="Times New Roman" w:cs="Times New Roman"/>
          <w:sz w:val="24"/>
          <w:szCs w:val="24"/>
        </w:rPr>
        <w:t>chez les Kabyles. Il est très rare que plusieurs fédérations s’unissent par des liens permanents, quand elles se liguent, c’est toujours dans un but de défense ou d’association commune et l’alliance cesse d’</w:t>
      </w:r>
      <w:r w:rsidR="001929A5" w:rsidRPr="00EB4AF2">
        <w:rPr>
          <w:rFonts w:ascii="Times New Roman" w:hAnsi="Times New Roman" w:cs="Times New Roman"/>
          <w:sz w:val="24"/>
          <w:szCs w:val="24"/>
        </w:rPr>
        <w:t>elle-même</w:t>
      </w:r>
      <w:r w:rsidR="00904E3B" w:rsidRPr="00EB4AF2">
        <w:rPr>
          <w:rFonts w:ascii="Times New Roman" w:hAnsi="Times New Roman" w:cs="Times New Roman"/>
          <w:sz w:val="24"/>
          <w:szCs w:val="24"/>
        </w:rPr>
        <w:t xml:space="preserve">, avec la cause qui l’a fait naitre." </w:t>
      </w:r>
    </w:p>
    <w:p w:rsidR="007B2215" w:rsidRPr="007B2215" w:rsidRDefault="007B2215" w:rsidP="007B2215">
      <w:pPr>
        <w:pStyle w:val="Paragraphedeliste"/>
        <w:jc w:val="both"/>
        <w:rPr>
          <w:rFonts w:ascii="Times New Roman" w:hAnsi="Times New Roman" w:cs="Times New Roman"/>
          <w:sz w:val="24"/>
          <w:szCs w:val="24"/>
        </w:rPr>
      </w:pPr>
    </w:p>
    <w:p w:rsidR="00E61FC1" w:rsidRPr="007B2215" w:rsidRDefault="00904E3B" w:rsidP="007B2215">
      <w:pPr>
        <w:pStyle w:val="Paragraphedeliste"/>
        <w:numPr>
          <w:ilvl w:val="0"/>
          <w:numId w:val="2"/>
        </w:numPr>
        <w:jc w:val="both"/>
        <w:rPr>
          <w:rFonts w:ascii="Times New Roman" w:hAnsi="Times New Roman" w:cs="Times New Roman"/>
          <w:sz w:val="24"/>
          <w:szCs w:val="24"/>
        </w:rPr>
      </w:pPr>
      <w:r w:rsidRPr="007B2215">
        <w:rPr>
          <w:rFonts w:ascii="Times New Roman" w:hAnsi="Times New Roman" w:cs="Times New Roman"/>
          <w:b/>
          <w:bCs/>
          <w:sz w:val="24"/>
          <w:szCs w:val="24"/>
        </w:rPr>
        <w:t>O</w:t>
      </w:r>
      <w:r w:rsidR="00E61FC1" w:rsidRPr="007B2215">
        <w:rPr>
          <w:rFonts w:ascii="Times New Roman" w:hAnsi="Times New Roman" w:cs="Times New Roman"/>
          <w:b/>
          <w:bCs/>
          <w:sz w:val="24"/>
          <w:szCs w:val="24"/>
        </w:rPr>
        <w:t>rganisation politique</w:t>
      </w:r>
      <w:r w:rsidR="00E61FC1" w:rsidRPr="007B2215">
        <w:rPr>
          <w:rFonts w:ascii="Times New Roman" w:hAnsi="Times New Roman" w:cs="Times New Roman"/>
          <w:sz w:val="24"/>
          <w:szCs w:val="24"/>
        </w:rPr>
        <w:t xml:space="preserve"> : Elle repose sur une assemblée appelée communément </w:t>
      </w:r>
      <w:r w:rsidR="00E61FC1" w:rsidRPr="007B2215">
        <w:rPr>
          <w:rFonts w:ascii="Times New Roman" w:hAnsi="Times New Roman" w:cs="Times New Roman"/>
          <w:b/>
          <w:bCs/>
          <w:sz w:val="24"/>
          <w:szCs w:val="24"/>
        </w:rPr>
        <w:t xml:space="preserve">Djemaâ (b </w:t>
      </w:r>
      <w:r w:rsidR="00E61FC1" w:rsidRPr="007B2215">
        <w:rPr>
          <w:rFonts w:ascii="Times New Roman" w:hAnsi="Times New Roman" w:cs="Times New Roman"/>
          <w:b/>
          <w:bCs/>
          <w:i/>
          <w:iCs/>
          <w:sz w:val="24"/>
          <w:szCs w:val="24"/>
        </w:rPr>
        <w:t>tajmaεt</w:t>
      </w:r>
      <w:r w:rsidR="00E61FC1" w:rsidRPr="007B2215">
        <w:rPr>
          <w:rFonts w:ascii="Times New Roman" w:hAnsi="Times New Roman" w:cs="Times New Roman"/>
          <w:b/>
          <w:bCs/>
          <w:sz w:val="24"/>
          <w:szCs w:val="24"/>
        </w:rPr>
        <w:t>, de l’arabe djamaa).</w:t>
      </w:r>
      <w:r w:rsidR="00E61FC1" w:rsidRPr="007B2215">
        <w:rPr>
          <w:rFonts w:ascii="Times New Roman" w:hAnsi="Times New Roman" w:cs="Times New Roman"/>
          <w:sz w:val="24"/>
          <w:szCs w:val="24"/>
        </w:rPr>
        <w:t xml:space="preserve"> Chaque tribu possède son assemblée, mais le pouvoir réel appartient aux assemblées de fractions qui détiennent les pouvoirs législatif et juridique)</w:t>
      </w:r>
    </w:p>
    <w:p w:rsidR="00EB4AF2" w:rsidRPr="00EB4AF2" w:rsidRDefault="001929A5" w:rsidP="001929A5">
      <w:pPr>
        <w:ind w:firstLine="708"/>
        <w:jc w:val="both"/>
        <w:rPr>
          <w:rFonts w:ascii="Times New Roman" w:hAnsi="Times New Roman" w:cs="Times New Roman"/>
          <w:b/>
          <w:bCs/>
          <w:sz w:val="24"/>
          <w:szCs w:val="24"/>
        </w:rPr>
      </w:pPr>
      <w:r w:rsidRPr="00EB4AF2">
        <w:rPr>
          <w:rFonts w:ascii="Times New Roman" w:hAnsi="Times New Roman" w:cs="Times New Roman"/>
          <w:b/>
          <w:bCs/>
          <w:sz w:val="24"/>
          <w:szCs w:val="24"/>
        </w:rPr>
        <w:t>La Djemaâ chez les Kabyles :</w:t>
      </w:r>
    </w:p>
    <w:p w:rsidR="001929A5" w:rsidRPr="00EB4AF2" w:rsidRDefault="001929A5" w:rsidP="00EB4AF2">
      <w:pPr>
        <w:ind w:left="708"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 D’abord les Djemaâ dans les cités Kabyles sont décrites comme formant de petits sénats qui sont dirigés par l</w:t>
      </w:r>
      <w:r w:rsidRPr="00EB4AF2">
        <w:rPr>
          <w:rFonts w:ascii="Times New Roman" w:hAnsi="Times New Roman" w:cs="Times New Roman"/>
          <w:b/>
          <w:bCs/>
          <w:sz w:val="24"/>
          <w:szCs w:val="24"/>
        </w:rPr>
        <w:t>es Amin, les oukils, les Temman ainsi que les oqqal ;</w:t>
      </w:r>
      <w:r w:rsidRPr="00EB4AF2">
        <w:rPr>
          <w:rFonts w:ascii="Times New Roman" w:hAnsi="Times New Roman" w:cs="Times New Roman"/>
          <w:sz w:val="24"/>
          <w:szCs w:val="24"/>
        </w:rPr>
        <w:t xml:space="preserve"> donc composés de personnes les plus influentes du village et dont les rôles, selon les écrits de Masqueray, étaient « de gérer les finances, y assurent l’ordre, en font les lois … l’égalité des droits sont la base fondamentale de leur société »</w:t>
      </w:r>
    </w:p>
    <w:p w:rsidR="00E61FC1" w:rsidRPr="00EB4AF2" w:rsidRDefault="00E61FC1" w:rsidP="001929A5">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L’assemblée élue comprend des membres et un chef appelé </w:t>
      </w:r>
      <w:r w:rsidRPr="00EB4AF2">
        <w:rPr>
          <w:rFonts w:ascii="Times New Roman" w:hAnsi="Times New Roman" w:cs="Times New Roman"/>
          <w:b/>
          <w:bCs/>
          <w:i/>
          <w:iCs/>
          <w:sz w:val="24"/>
          <w:szCs w:val="24"/>
        </w:rPr>
        <w:t>amγar</w:t>
      </w:r>
      <w:r w:rsidRPr="00EB4AF2">
        <w:rPr>
          <w:rFonts w:ascii="Times New Roman" w:hAnsi="Times New Roman" w:cs="Times New Roman"/>
          <w:b/>
          <w:bCs/>
          <w:sz w:val="24"/>
          <w:szCs w:val="24"/>
        </w:rPr>
        <w:t xml:space="preserve"> « chef, sage »,</w:t>
      </w:r>
      <w:r w:rsidRPr="00EB4AF2">
        <w:rPr>
          <w:rFonts w:ascii="Times New Roman" w:hAnsi="Times New Roman" w:cs="Times New Roman"/>
          <w:sz w:val="24"/>
          <w:szCs w:val="24"/>
        </w:rPr>
        <w:t xml:space="preserve"> ou </w:t>
      </w:r>
      <w:r w:rsidRPr="00EB4AF2">
        <w:rPr>
          <w:rFonts w:ascii="Times New Roman" w:hAnsi="Times New Roman" w:cs="Times New Roman"/>
          <w:b/>
          <w:bCs/>
          <w:i/>
          <w:iCs/>
          <w:sz w:val="24"/>
          <w:szCs w:val="24"/>
        </w:rPr>
        <w:t>amuqqran</w:t>
      </w:r>
      <w:r w:rsidRPr="00EB4AF2">
        <w:rPr>
          <w:rFonts w:ascii="Times New Roman" w:hAnsi="Times New Roman" w:cs="Times New Roman"/>
          <w:b/>
          <w:bCs/>
          <w:sz w:val="24"/>
          <w:szCs w:val="24"/>
        </w:rPr>
        <w:t>, « grand ».</w:t>
      </w:r>
      <w:r w:rsidRPr="00EB4AF2">
        <w:rPr>
          <w:rFonts w:ascii="Times New Roman" w:hAnsi="Times New Roman" w:cs="Times New Roman"/>
          <w:sz w:val="24"/>
          <w:szCs w:val="24"/>
        </w:rPr>
        <w:t xml:space="preserve"> C’est lui qui convoque les assemblées, préside les réunions et arbitre les conflits. Pour permettre à chacun de participer à la gestion de la cité, la présence de tous les adultes mâles aux assemblées est exigée. En Kabylie par exemple, il était d’usage de frapper d’amende les absents. </w:t>
      </w:r>
    </w:p>
    <w:p w:rsidR="00023FE4" w:rsidRPr="00EB4AF2" w:rsidRDefault="00023FE4"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L’Amin est une personne nommée par tous les citoyens car il jouit d’une grande influence. Il jour le </w:t>
      </w:r>
      <w:r w:rsidR="003903C9" w:rsidRPr="00EB4AF2">
        <w:rPr>
          <w:rFonts w:ascii="Times New Roman" w:hAnsi="Times New Roman" w:cs="Times New Roman"/>
          <w:sz w:val="24"/>
          <w:szCs w:val="24"/>
        </w:rPr>
        <w:t>rôle</w:t>
      </w:r>
      <w:r w:rsidRPr="00EB4AF2">
        <w:rPr>
          <w:rFonts w:ascii="Times New Roman" w:hAnsi="Times New Roman" w:cs="Times New Roman"/>
          <w:sz w:val="24"/>
          <w:szCs w:val="24"/>
        </w:rPr>
        <w:t xml:space="preserve"> d’un maire, d’un administrateur et </w:t>
      </w:r>
      <w:r w:rsidR="00EB4AF2" w:rsidRPr="00EB4AF2">
        <w:rPr>
          <w:rFonts w:ascii="Times New Roman" w:hAnsi="Times New Roman" w:cs="Times New Roman"/>
          <w:sz w:val="24"/>
          <w:szCs w:val="24"/>
        </w:rPr>
        <w:t>même</w:t>
      </w:r>
      <w:r w:rsidRPr="00EB4AF2">
        <w:rPr>
          <w:rFonts w:ascii="Times New Roman" w:hAnsi="Times New Roman" w:cs="Times New Roman"/>
          <w:sz w:val="24"/>
          <w:szCs w:val="24"/>
        </w:rPr>
        <w:t xml:space="preserve"> d’un juge. On le retrouve sous le nom de berger, </w:t>
      </w:r>
      <w:r w:rsidRPr="003903C9">
        <w:rPr>
          <w:rFonts w:ascii="Times New Roman" w:hAnsi="Times New Roman" w:cs="Times New Roman"/>
          <w:i/>
          <w:sz w:val="24"/>
          <w:szCs w:val="24"/>
        </w:rPr>
        <w:t>ameksa</w:t>
      </w:r>
      <w:r w:rsidRPr="00EB4AF2">
        <w:rPr>
          <w:rFonts w:ascii="Times New Roman" w:hAnsi="Times New Roman" w:cs="Times New Roman"/>
          <w:sz w:val="24"/>
          <w:szCs w:val="24"/>
        </w:rPr>
        <w:t xml:space="preserve">. </w:t>
      </w:r>
    </w:p>
    <w:p w:rsidR="000D17BB" w:rsidRPr="00EB4AF2" w:rsidRDefault="00A542D6" w:rsidP="00E61FC1">
      <w:pPr>
        <w:ind w:firstLine="708"/>
        <w:jc w:val="both"/>
        <w:rPr>
          <w:rFonts w:ascii="Times New Roman" w:hAnsi="Times New Roman" w:cs="Times New Roman"/>
          <w:i/>
          <w:sz w:val="24"/>
          <w:szCs w:val="24"/>
        </w:rPr>
      </w:pPr>
      <w:r w:rsidRPr="00EB4AF2">
        <w:rPr>
          <w:rFonts w:ascii="Times New Roman" w:hAnsi="Times New Roman" w:cs="Times New Roman"/>
          <w:sz w:val="24"/>
          <w:szCs w:val="24"/>
        </w:rPr>
        <w:t xml:space="preserve">Emile Masqueray décrit le </w:t>
      </w:r>
      <w:r w:rsidR="00EB4AF2" w:rsidRPr="00EB4AF2">
        <w:rPr>
          <w:rFonts w:ascii="Times New Roman" w:hAnsi="Times New Roman" w:cs="Times New Roman"/>
          <w:sz w:val="24"/>
          <w:szCs w:val="24"/>
        </w:rPr>
        <w:t>rôle</w:t>
      </w:r>
      <w:r w:rsidRPr="00EB4AF2">
        <w:rPr>
          <w:rFonts w:ascii="Times New Roman" w:hAnsi="Times New Roman" w:cs="Times New Roman"/>
          <w:sz w:val="24"/>
          <w:szCs w:val="24"/>
        </w:rPr>
        <w:t xml:space="preserve"> de </w:t>
      </w:r>
      <w:r w:rsidR="000D17BB" w:rsidRPr="00EB4AF2">
        <w:rPr>
          <w:rFonts w:ascii="Times New Roman" w:hAnsi="Times New Roman" w:cs="Times New Roman"/>
          <w:sz w:val="24"/>
          <w:szCs w:val="24"/>
        </w:rPr>
        <w:t>l’</w:t>
      </w:r>
      <w:r w:rsidR="000D17BB" w:rsidRPr="003903C9">
        <w:rPr>
          <w:rFonts w:ascii="Times New Roman" w:hAnsi="Times New Roman" w:cs="Times New Roman"/>
          <w:i/>
          <w:sz w:val="24"/>
          <w:szCs w:val="24"/>
        </w:rPr>
        <w:t>Amin</w:t>
      </w:r>
      <w:r w:rsidRPr="00EB4AF2">
        <w:rPr>
          <w:rFonts w:ascii="Times New Roman" w:hAnsi="Times New Roman" w:cs="Times New Roman"/>
          <w:sz w:val="24"/>
          <w:szCs w:val="24"/>
        </w:rPr>
        <w:t xml:space="preserve"> en disant </w:t>
      </w:r>
      <w:r w:rsidRPr="00EB4AF2">
        <w:rPr>
          <w:rFonts w:ascii="Times New Roman" w:hAnsi="Times New Roman" w:cs="Times New Roman"/>
          <w:i/>
          <w:sz w:val="24"/>
          <w:szCs w:val="24"/>
        </w:rPr>
        <w:t>« </w:t>
      </w:r>
      <w:r w:rsidR="000D17BB" w:rsidRPr="00EB4AF2">
        <w:rPr>
          <w:rFonts w:ascii="Times New Roman" w:hAnsi="Times New Roman" w:cs="Times New Roman"/>
          <w:i/>
          <w:sz w:val="24"/>
          <w:szCs w:val="24"/>
        </w:rPr>
        <w:t xml:space="preserve">son action s’étend à tout ce qui intéresse l’ordre, la morale, l’exécution des </w:t>
      </w:r>
      <w:r w:rsidR="00EB4AF2" w:rsidRPr="00EB4AF2">
        <w:rPr>
          <w:rFonts w:ascii="Times New Roman" w:hAnsi="Times New Roman" w:cs="Times New Roman"/>
          <w:i/>
          <w:sz w:val="24"/>
          <w:szCs w:val="24"/>
        </w:rPr>
        <w:t>règlements</w:t>
      </w:r>
      <w:r w:rsidR="000D17BB" w:rsidRPr="00EB4AF2">
        <w:rPr>
          <w:rFonts w:ascii="Times New Roman" w:hAnsi="Times New Roman" w:cs="Times New Roman"/>
          <w:i/>
          <w:sz w:val="24"/>
          <w:szCs w:val="24"/>
        </w:rPr>
        <w:t xml:space="preserve">, la protection des personnes et des propriétés. Il préside toutes les réunions publiques, il veille à l’entretien et la conservation des biens communaux, répartit les corvées, perçoit les amendes, fait rentrer les </w:t>
      </w:r>
      <w:r w:rsidR="009E7DB9" w:rsidRPr="00EB4AF2">
        <w:rPr>
          <w:rFonts w:ascii="Times New Roman" w:hAnsi="Times New Roman" w:cs="Times New Roman"/>
          <w:i/>
          <w:sz w:val="24"/>
          <w:szCs w:val="24"/>
        </w:rPr>
        <w:t>impôts</w:t>
      </w:r>
      <w:r w:rsidR="000D17BB" w:rsidRPr="00EB4AF2">
        <w:rPr>
          <w:rFonts w:ascii="Times New Roman" w:hAnsi="Times New Roman" w:cs="Times New Roman"/>
          <w:i/>
          <w:sz w:val="24"/>
          <w:szCs w:val="24"/>
        </w:rPr>
        <w:t xml:space="preserve">, pourvoit à la sécurité des étrangers, assigne les postes en cas de guerre, visite les armes et distribue les munitions » </w:t>
      </w:r>
    </w:p>
    <w:p w:rsidR="00023FE4" w:rsidRPr="00EB4AF2" w:rsidRDefault="00023FE4"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Le </w:t>
      </w:r>
      <w:r w:rsidR="00BB4F9D" w:rsidRPr="00EB4AF2">
        <w:rPr>
          <w:rFonts w:ascii="Times New Roman" w:hAnsi="Times New Roman" w:cs="Times New Roman"/>
          <w:sz w:val="24"/>
          <w:szCs w:val="24"/>
        </w:rPr>
        <w:t>rôle</w:t>
      </w:r>
      <w:r w:rsidRPr="00EB4AF2">
        <w:rPr>
          <w:rFonts w:ascii="Times New Roman" w:hAnsi="Times New Roman" w:cs="Times New Roman"/>
          <w:sz w:val="24"/>
          <w:szCs w:val="24"/>
        </w:rPr>
        <w:t xml:space="preserve"> de l’oukil selon l’auteur, n’est pas seulement comme l’adjoint de l’Amin. Il s’occupe aussi de la comptabilité des biens religieux et des dépenses de la Djemaa. </w:t>
      </w:r>
    </w:p>
    <w:p w:rsidR="001929A5" w:rsidRPr="00EB4AF2" w:rsidRDefault="00023FE4"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Quant aux Temman, ils sont choisis par l’Amin dans chacune des kharroubas</w:t>
      </w:r>
      <w:r w:rsidR="000D17BB" w:rsidRPr="00EB4AF2">
        <w:rPr>
          <w:rFonts w:ascii="Times New Roman" w:hAnsi="Times New Roman" w:cs="Times New Roman"/>
          <w:sz w:val="24"/>
          <w:szCs w:val="24"/>
        </w:rPr>
        <w:t xml:space="preserve"> afin d’y faire respecter les décisions de la Djemaa.</w:t>
      </w:r>
    </w:p>
    <w:p w:rsidR="00EB4AF2" w:rsidRPr="00EB4AF2" w:rsidRDefault="00EB4AF2" w:rsidP="00EB4AF2">
      <w:pPr>
        <w:pStyle w:val="Paragraphedeliste"/>
        <w:numPr>
          <w:ilvl w:val="0"/>
          <w:numId w:val="2"/>
        </w:numPr>
        <w:jc w:val="both"/>
        <w:rPr>
          <w:rFonts w:ascii="Times New Roman" w:hAnsi="Times New Roman" w:cs="Times New Roman"/>
          <w:b/>
          <w:sz w:val="24"/>
          <w:szCs w:val="24"/>
        </w:rPr>
      </w:pPr>
      <w:r w:rsidRPr="00EB4AF2">
        <w:rPr>
          <w:rFonts w:ascii="Times New Roman" w:hAnsi="Times New Roman" w:cs="Times New Roman"/>
          <w:b/>
          <w:sz w:val="24"/>
          <w:szCs w:val="24"/>
        </w:rPr>
        <w:t>Rôle de la Djemaa en Kabylie </w:t>
      </w:r>
    </w:p>
    <w:p w:rsidR="00BB4F9D" w:rsidRPr="00EB4AF2" w:rsidRDefault="001929A5"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lastRenderedPageBreak/>
        <w:t xml:space="preserve">La Djemaa était la colonne vertébrale de la Kabylie. Elle était présente tout le temps et dans tous les lieux. Elle brillait </w:t>
      </w:r>
      <w:r w:rsidR="00BB4F9D" w:rsidRPr="00EB4AF2">
        <w:rPr>
          <w:rFonts w:ascii="Times New Roman" w:hAnsi="Times New Roman" w:cs="Times New Roman"/>
          <w:sz w:val="24"/>
          <w:szCs w:val="24"/>
        </w:rPr>
        <w:t xml:space="preserve">par ses manifestations et ses actions et était crainte par chaque grande et petite veine du corps social. Elle se basait sur l’égalité des droits de </w:t>
      </w:r>
      <w:r w:rsidR="007B2215" w:rsidRPr="00EB4AF2">
        <w:rPr>
          <w:rFonts w:ascii="Times New Roman" w:hAnsi="Times New Roman" w:cs="Times New Roman"/>
          <w:sz w:val="24"/>
          <w:szCs w:val="24"/>
        </w:rPr>
        <w:t>tous.</w:t>
      </w:r>
    </w:p>
    <w:p w:rsidR="00023FE4" w:rsidRPr="00EB4AF2" w:rsidRDefault="00BB4F9D"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La Djemaa gérait les situations et les circonstances atténuantes selon une charte sociale fondée sur un ensemble de lois nommées kanoun, et chaque village avait son propre kanoun inspiré à la fois de la religion, des coutumes, des traditions et mœurs de la Kabylie ; un élément d’appui chez le colonialisme pour trancher dans son discernement entre les sociétés qui formaient l’Algérie. </w:t>
      </w:r>
    </w:p>
    <w:p w:rsidR="00EB4AF2" w:rsidRDefault="00BB4F9D" w:rsidP="00BB4F9D">
      <w:pPr>
        <w:ind w:firstLine="708"/>
        <w:jc w:val="both"/>
        <w:rPr>
          <w:rFonts w:ascii="Times New Roman" w:hAnsi="Times New Roman" w:cs="Times New Roman"/>
          <w:sz w:val="24"/>
          <w:szCs w:val="24"/>
        </w:rPr>
      </w:pPr>
      <w:r w:rsidRPr="00EB4AF2">
        <w:rPr>
          <w:rFonts w:ascii="Times New Roman" w:hAnsi="Times New Roman" w:cs="Times New Roman"/>
          <w:sz w:val="24"/>
          <w:szCs w:val="24"/>
        </w:rPr>
        <w:t>Selon Hanoteau et Letourneux, l</w:t>
      </w:r>
      <w:r w:rsidR="00E61FC1" w:rsidRPr="00EB4AF2">
        <w:rPr>
          <w:rFonts w:ascii="Times New Roman" w:hAnsi="Times New Roman" w:cs="Times New Roman"/>
          <w:sz w:val="24"/>
          <w:szCs w:val="24"/>
        </w:rPr>
        <w:t>a Djemaâ ne se contente pas de régler</w:t>
      </w:r>
      <w:r w:rsidR="009E7DB9">
        <w:rPr>
          <w:rFonts w:ascii="Times New Roman" w:hAnsi="Times New Roman" w:cs="Times New Roman"/>
          <w:sz w:val="24"/>
          <w:szCs w:val="24"/>
        </w:rPr>
        <w:t xml:space="preserve"> </w:t>
      </w:r>
      <w:r w:rsidR="00E61FC1" w:rsidRPr="00EB4AF2">
        <w:rPr>
          <w:rFonts w:ascii="Times New Roman" w:hAnsi="Times New Roman" w:cs="Times New Roman"/>
          <w:sz w:val="24"/>
          <w:szCs w:val="24"/>
        </w:rPr>
        <w:t>les conflits du village, mais bien plus que çà puisqu’elle se préoccupe des villageois, de leur vie sociale, des impôts et des amendes ainsi que de l’instauration de la paix et de la guerre.</w:t>
      </w:r>
      <w:r w:rsidR="009E7DB9">
        <w:rPr>
          <w:rFonts w:ascii="Times New Roman" w:hAnsi="Times New Roman" w:cs="Times New Roman"/>
          <w:sz w:val="24"/>
          <w:szCs w:val="24"/>
        </w:rPr>
        <w:t xml:space="preserve"> </w:t>
      </w:r>
      <w:r w:rsidR="00E61FC1" w:rsidRPr="00EB4AF2">
        <w:rPr>
          <w:rFonts w:ascii="Times New Roman" w:hAnsi="Times New Roman" w:cs="Times New Roman"/>
          <w:sz w:val="24"/>
          <w:szCs w:val="24"/>
        </w:rPr>
        <w:t>En plus, elle décide du changement ou de la création des lois en cas de nouveaux conflits. Elle exerce également un pouvoir politique, administratif et même un pouvoir juridique, car elle joue le rôle de tribunal criminel, correctionnel et de police dans les cas de crimes ou d’infractions aux lois villageoises et municipales</w:t>
      </w:r>
      <w:r w:rsidR="00EB4AF2">
        <w:rPr>
          <w:rStyle w:val="Appelnotedebasdep"/>
          <w:rFonts w:ascii="Times New Roman" w:hAnsi="Times New Roman" w:cs="Times New Roman"/>
          <w:sz w:val="24"/>
          <w:szCs w:val="24"/>
        </w:rPr>
        <w:footnoteReference w:id="3"/>
      </w:r>
      <w:r w:rsidR="00E61FC1" w:rsidRPr="00EB4AF2">
        <w:rPr>
          <w:rFonts w:ascii="Times New Roman" w:hAnsi="Times New Roman" w:cs="Times New Roman"/>
          <w:sz w:val="24"/>
          <w:szCs w:val="24"/>
        </w:rPr>
        <w:t xml:space="preserve">. </w:t>
      </w:r>
    </w:p>
    <w:p w:rsidR="00E61FC1" w:rsidRDefault="00E61FC1" w:rsidP="00BB4F9D">
      <w:pPr>
        <w:ind w:firstLine="708"/>
        <w:jc w:val="both"/>
        <w:rPr>
          <w:rFonts w:ascii="Times New Roman" w:hAnsi="Times New Roman" w:cs="Times New Roman"/>
        </w:rPr>
      </w:pPr>
    </w:p>
    <w:p w:rsidR="00A064A8" w:rsidRPr="007B2215" w:rsidRDefault="00A064A8" w:rsidP="00A064A8">
      <w:pPr>
        <w:ind w:firstLine="360"/>
        <w:jc w:val="both"/>
        <w:rPr>
          <w:rFonts w:ascii="Times New Roman" w:hAnsi="Times New Roman" w:cs="Times New Roman"/>
          <w:b/>
          <w:iCs/>
          <w:sz w:val="24"/>
          <w:szCs w:val="24"/>
        </w:rPr>
      </w:pPr>
      <w:r w:rsidRPr="007B2215">
        <w:rPr>
          <w:rFonts w:ascii="Times New Roman" w:hAnsi="Times New Roman" w:cs="Times New Roman"/>
          <w:b/>
          <w:iCs/>
          <w:sz w:val="24"/>
          <w:szCs w:val="24"/>
        </w:rPr>
        <w:t>Bibliographie </w:t>
      </w:r>
    </w:p>
    <w:p w:rsidR="00A064A8" w:rsidRPr="007B2215" w:rsidRDefault="00A064A8" w:rsidP="00A064A8">
      <w:pPr>
        <w:pStyle w:val="Paragraphedeliste"/>
        <w:numPr>
          <w:ilvl w:val="0"/>
          <w:numId w:val="2"/>
        </w:numPr>
        <w:jc w:val="both"/>
        <w:rPr>
          <w:rFonts w:ascii="Times New Roman" w:hAnsi="Times New Roman" w:cs="Times New Roman"/>
          <w:iCs/>
          <w:sz w:val="24"/>
          <w:szCs w:val="24"/>
        </w:rPr>
      </w:pPr>
      <w:r w:rsidRPr="007B2215">
        <w:rPr>
          <w:rFonts w:ascii="Times New Roman" w:hAnsi="Times New Roman" w:cs="Times New Roman"/>
          <w:iCs/>
          <w:sz w:val="24"/>
          <w:szCs w:val="24"/>
        </w:rPr>
        <w:t xml:space="preserve">Younes Adli, la Kabylie à l’épreuve des invasions, des Phéniciens à 1900, </w:t>
      </w:r>
      <w:r w:rsidR="0062780D" w:rsidRPr="007B2215">
        <w:rPr>
          <w:rFonts w:ascii="Times New Roman" w:hAnsi="Times New Roman" w:cs="Times New Roman"/>
          <w:iCs/>
          <w:sz w:val="24"/>
          <w:szCs w:val="24"/>
        </w:rPr>
        <w:t>Ziryab</w:t>
      </w:r>
      <w:r w:rsidRPr="007B2215">
        <w:rPr>
          <w:rFonts w:ascii="Times New Roman" w:hAnsi="Times New Roman" w:cs="Times New Roman"/>
          <w:iCs/>
          <w:sz w:val="24"/>
          <w:szCs w:val="24"/>
        </w:rPr>
        <w:t xml:space="preserve"> éditions</w:t>
      </w:r>
    </w:p>
    <w:p w:rsidR="00A064A8" w:rsidRPr="007B2215" w:rsidRDefault="00A064A8" w:rsidP="00A064A8">
      <w:pPr>
        <w:pStyle w:val="Paragraphedeliste"/>
        <w:numPr>
          <w:ilvl w:val="0"/>
          <w:numId w:val="2"/>
        </w:numPr>
        <w:jc w:val="both"/>
        <w:rPr>
          <w:rFonts w:ascii="Times New Roman" w:hAnsi="Times New Roman" w:cs="Times New Roman"/>
          <w:iCs/>
          <w:sz w:val="24"/>
          <w:szCs w:val="24"/>
        </w:rPr>
      </w:pPr>
      <w:r w:rsidRPr="007B2215">
        <w:rPr>
          <w:rFonts w:ascii="Times New Roman" w:hAnsi="Times New Roman" w:cs="Times New Roman"/>
          <w:iCs/>
          <w:sz w:val="24"/>
          <w:szCs w:val="24"/>
        </w:rPr>
        <w:t>La Kabylie présentée</w:t>
      </w:r>
      <w:r w:rsidR="0062780D">
        <w:rPr>
          <w:rFonts w:ascii="Times New Roman" w:hAnsi="Times New Roman" w:cs="Times New Roman"/>
          <w:iCs/>
          <w:sz w:val="24"/>
          <w:szCs w:val="24"/>
        </w:rPr>
        <w:t xml:space="preserve"> par des auteurs français du 19</w:t>
      </w:r>
      <w:r w:rsidRPr="007B2215">
        <w:rPr>
          <w:rFonts w:ascii="Times New Roman" w:hAnsi="Times New Roman" w:cs="Times New Roman"/>
          <w:iCs/>
          <w:sz w:val="24"/>
          <w:szCs w:val="24"/>
        </w:rPr>
        <w:t>ème siècle, étude analytique (Ouvrage coordonné par Ouatmani</w:t>
      </w:r>
      <w:r w:rsidR="0062780D">
        <w:rPr>
          <w:rFonts w:ascii="Times New Roman" w:hAnsi="Times New Roman" w:cs="Times New Roman"/>
          <w:iCs/>
          <w:sz w:val="24"/>
          <w:szCs w:val="24"/>
        </w:rPr>
        <w:t xml:space="preserve"> </w:t>
      </w:r>
      <w:r w:rsidRPr="007B2215">
        <w:rPr>
          <w:rFonts w:ascii="Times New Roman" w:hAnsi="Times New Roman" w:cs="Times New Roman"/>
          <w:iCs/>
          <w:sz w:val="24"/>
          <w:szCs w:val="24"/>
        </w:rPr>
        <w:t>Settar), OPU</w:t>
      </w:r>
    </w:p>
    <w:p w:rsidR="00A064A8" w:rsidRPr="007B2215" w:rsidRDefault="00A064A8" w:rsidP="00A064A8">
      <w:pPr>
        <w:pStyle w:val="Paragraphedeliste"/>
        <w:jc w:val="both"/>
        <w:rPr>
          <w:rFonts w:ascii="Times New Roman" w:hAnsi="Times New Roman" w:cs="Times New Roman"/>
          <w:iCs/>
          <w:sz w:val="24"/>
          <w:szCs w:val="24"/>
        </w:rPr>
      </w:pPr>
    </w:p>
    <w:p w:rsidR="00A064A8" w:rsidRPr="007B2215" w:rsidRDefault="00A064A8" w:rsidP="00A064A8">
      <w:pPr>
        <w:ind w:firstLine="360"/>
        <w:jc w:val="both"/>
        <w:rPr>
          <w:rFonts w:ascii="Times New Roman" w:hAnsi="Times New Roman" w:cs="Times New Roman"/>
          <w:iCs/>
          <w:sz w:val="24"/>
          <w:szCs w:val="24"/>
        </w:rPr>
      </w:pPr>
    </w:p>
    <w:p w:rsidR="00A064A8" w:rsidRPr="00EB4AF2" w:rsidRDefault="00A064A8" w:rsidP="00BB4F9D">
      <w:pPr>
        <w:ind w:firstLine="708"/>
        <w:jc w:val="both"/>
        <w:rPr>
          <w:rFonts w:ascii="Times New Roman" w:hAnsi="Times New Roman" w:cs="Times New Roman"/>
        </w:rPr>
      </w:pPr>
    </w:p>
    <w:sectPr w:rsidR="00A064A8" w:rsidRPr="00EB4AF2" w:rsidSect="0089596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7E1" w:rsidRDefault="00FA17E1" w:rsidP="00E61FC1">
      <w:pPr>
        <w:spacing w:after="0" w:line="240" w:lineRule="auto"/>
      </w:pPr>
      <w:r>
        <w:separator/>
      </w:r>
    </w:p>
  </w:endnote>
  <w:endnote w:type="continuationSeparator" w:id="1">
    <w:p w:rsidR="00FA17E1" w:rsidRDefault="00FA17E1" w:rsidP="00E61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11477"/>
      <w:docPartObj>
        <w:docPartGallery w:val="Page Numbers (Bottom of Page)"/>
        <w:docPartUnique/>
      </w:docPartObj>
    </w:sdtPr>
    <w:sdtContent>
      <w:p w:rsidR="0022424F" w:rsidRDefault="0022424F">
        <w:pPr>
          <w:pStyle w:val="Pieddepage"/>
          <w:jc w:val="right"/>
        </w:pPr>
        <w:fldSimple w:instr="PAGE   \* MERGEFORMAT">
          <w:r w:rsidR="009E7DB9">
            <w:rPr>
              <w:noProof/>
            </w:rPr>
            <w:t>1</w:t>
          </w:r>
        </w:fldSimple>
      </w:p>
    </w:sdtContent>
  </w:sdt>
  <w:p w:rsidR="0022424F" w:rsidRDefault="0022424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7E1" w:rsidRDefault="00FA17E1" w:rsidP="00E61FC1">
      <w:pPr>
        <w:spacing w:after="0" w:line="240" w:lineRule="auto"/>
      </w:pPr>
      <w:r>
        <w:separator/>
      </w:r>
    </w:p>
  </w:footnote>
  <w:footnote w:type="continuationSeparator" w:id="1">
    <w:p w:rsidR="00FA17E1" w:rsidRDefault="00FA17E1" w:rsidP="00E61FC1">
      <w:pPr>
        <w:spacing w:after="0" w:line="240" w:lineRule="auto"/>
      </w:pPr>
      <w:r>
        <w:continuationSeparator/>
      </w:r>
    </w:p>
  </w:footnote>
  <w:footnote w:id="2">
    <w:p w:rsidR="0022424F" w:rsidRDefault="0022424F">
      <w:pPr>
        <w:pStyle w:val="Notedebasdepage"/>
      </w:pPr>
      <w:r>
        <w:rPr>
          <w:rStyle w:val="Appelnotedebasdep"/>
        </w:rPr>
        <w:footnoteRef/>
      </w:r>
      <w:r>
        <w:t xml:space="preserve"> D. Kaltbrunner, « Recherches sur l’origine des</w:t>
      </w:r>
      <w:r w:rsidR="00A84D21">
        <w:t xml:space="preserve"> Kabyles », le globe (Revue </w:t>
      </w:r>
      <w:r w:rsidR="0062780D">
        <w:t>genevoise</w:t>
      </w:r>
      <w:r>
        <w:t xml:space="preserve"> de Géographie), 1871</w:t>
      </w:r>
    </w:p>
  </w:footnote>
  <w:footnote w:id="3">
    <w:p w:rsidR="0022424F" w:rsidRDefault="0022424F">
      <w:pPr>
        <w:pStyle w:val="Notedebasdepage"/>
      </w:pPr>
      <w:r>
        <w:rPr>
          <w:rStyle w:val="Appelnotedebasdep"/>
        </w:rPr>
        <w:footnoteRef/>
      </w:r>
      <w:r>
        <w:t>Hanoteau et Letourneux, la Kabylie et les coutumes Kabyles, cité par Mohand-Akli Ferradji, La société Kabyle vue par des auteurs français du 19</w:t>
      </w:r>
      <w:r w:rsidRPr="00EB4AF2">
        <w:rPr>
          <w:vertAlign w:val="superscript"/>
        </w:rPr>
        <w:t>ème</w:t>
      </w:r>
      <w:r>
        <w:t xml:space="preserve"> siècle ; étude comparative avec des analyses anthropologiques récentes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D49C3"/>
    <w:multiLevelType w:val="hybridMultilevel"/>
    <w:tmpl w:val="9A46FDA2"/>
    <w:lvl w:ilvl="0" w:tplc="5914EEB8">
      <w:start w:val="6"/>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147849"/>
    <w:multiLevelType w:val="hybridMultilevel"/>
    <w:tmpl w:val="607027A2"/>
    <w:lvl w:ilvl="0" w:tplc="FC2257B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EB87A5E"/>
    <w:multiLevelType w:val="hybridMultilevel"/>
    <w:tmpl w:val="54A6C650"/>
    <w:lvl w:ilvl="0" w:tplc="499E8F5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79931CB"/>
    <w:multiLevelType w:val="hybridMultilevel"/>
    <w:tmpl w:val="C91CC198"/>
    <w:lvl w:ilvl="0" w:tplc="89CC00D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7B8A3C5D"/>
    <w:multiLevelType w:val="hybridMultilevel"/>
    <w:tmpl w:val="E0F23198"/>
    <w:lvl w:ilvl="0" w:tplc="D72C64EA">
      <w:start w:val="1"/>
      <w:numFmt w:val="lowerLetter"/>
      <w:lvlText w:val="%1-"/>
      <w:lvlJc w:val="left"/>
      <w:pPr>
        <w:ind w:left="1068" w:hanging="360"/>
      </w:pPr>
      <w:rPr>
        <w:rFonts w:hint="default"/>
        <w:b/>
        <w: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7C523AF8"/>
    <w:multiLevelType w:val="hybridMultilevel"/>
    <w:tmpl w:val="1CCE93C0"/>
    <w:lvl w:ilvl="0" w:tplc="D6F4FA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E61FC1"/>
    <w:rsid w:val="000069C8"/>
    <w:rsid w:val="00023FE4"/>
    <w:rsid w:val="0002737E"/>
    <w:rsid w:val="00037725"/>
    <w:rsid w:val="00053F57"/>
    <w:rsid w:val="0007252A"/>
    <w:rsid w:val="0009756D"/>
    <w:rsid w:val="000B7491"/>
    <w:rsid w:val="000D17BB"/>
    <w:rsid w:val="001011CD"/>
    <w:rsid w:val="00111511"/>
    <w:rsid w:val="001929A5"/>
    <w:rsid w:val="001A0935"/>
    <w:rsid w:val="001D23C9"/>
    <w:rsid w:val="002051EE"/>
    <w:rsid w:val="0022424F"/>
    <w:rsid w:val="00257F55"/>
    <w:rsid w:val="002868A5"/>
    <w:rsid w:val="00291118"/>
    <w:rsid w:val="003903C9"/>
    <w:rsid w:val="003B0682"/>
    <w:rsid w:val="00414766"/>
    <w:rsid w:val="005A6AC6"/>
    <w:rsid w:val="0062780D"/>
    <w:rsid w:val="00656B04"/>
    <w:rsid w:val="006A5791"/>
    <w:rsid w:val="007650DC"/>
    <w:rsid w:val="007B2215"/>
    <w:rsid w:val="007B42F7"/>
    <w:rsid w:val="007E7E21"/>
    <w:rsid w:val="007F2014"/>
    <w:rsid w:val="00863C6D"/>
    <w:rsid w:val="00882B3C"/>
    <w:rsid w:val="00890F2A"/>
    <w:rsid w:val="00895967"/>
    <w:rsid w:val="008E46EB"/>
    <w:rsid w:val="00904E3B"/>
    <w:rsid w:val="009E7DB9"/>
    <w:rsid w:val="00A064A8"/>
    <w:rsid w:val="00A1720F"/>
    <w:rsid w:val="00A542D6"/>
    <w:rsid w:val="00A84D21"/>
    <w:rsid w:val="00AB5EB7"/>
    <w:rsid w:val="00B73B08"/>
    <w:rsid w:val="00BB4F9D"/>
    <w:rsid w:val="00BF7066"/>
    <w:rsid w:val="00CF12B5"/>
    <w:rsid w:val="00D77A68"/>
    <w:rsid w:val="00DB51CA"/>
    <w:rsid w:val="00DF7387"/>
    <w:rsid w:val="00E31270"/>
    <w:rsid w:val="00E61FC1"/>
    <w:rsid w:val="00EA4E8D"/>
    <w:rsid w:val="00EB4AF2"/>
    <w:rsid w:val="00EC70F1"/>
    <w:rsid w:val="00F241A1"/>
    <w:rsid w:val="00FA17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C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1FC1"/>
    <w:pPr>
      <w:ind w:left="720"/>
      <w:contextualSpacing/>
    </w:pPr>
  </w:style>
  <w:style w:type="paragraph" w:styleId="Pieddepage">
    <w:name w:val="footer"/>
    <w:basedOn w:val="Normal"/>
    <w:link w:val="PieddepageCar"/>
    <w:uiPriority w:val="99"/>
    <w:unhideWhenUsed/>
    <w:rsid w:val="00E61F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1FC1"/>
  </w:style>
  <w:style w:type="paragraph" w:styleId="En-tte">
    <w:name w:val="header"/>
    <w:basedOn w:val="Normal"/>
    <w:link w:val="En-tteCar"/>
    <w:uiPriority w:val="99"/>
    <w:unhideWhenUsed/>
    <w:rsid w:val="00E61FC1"/>
    <w:pPr>
      <w:tabs>
        <w:tab w:val="center" w:pos="4536"/>
        <w:tab w:val="right" w:pos="9072"/>
      </w:tabs>
      <w:spacing w:after="0" w:line="240" w:lineRule="auto"/>
    </w:pPr>
  </w:style>
  <w:style w:type="character" w:customStyle="1" w:styleId="En-tteCar">
    <w:name w:val="En-tête Car"/>
    <w:basedOn w:val="Policepardfaut"/>
    <w:link w:val="En-tte"/>
    <w:uiPriority w:val="99"/>
    <w:rsid w:val="00E61FC1"/>
  </w:style>
  <w:style w:type="paragraph" w:styleId="Notedebasdepage">
    <w:name w:val="footnote text"/>
    <w:basedOn w:val="Normal"/>
    <w:link w:val="NotedebasdepageCar"/>
    <w:uiPriority w:val="99"/>
    <w:semiHidden/>
    <w:unhideWhenUsed/>
    <w:rsid w:val="00DF73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7387"/>
    <w:rPr>
      <w:sz w:val="20"/>
      <w:szCs w:val="20"/>
    </w:rPr>
  </w:style>
  <w:style w:type="character" w:styleId="Appelnotedebasdep">
    <w:name w:val="footnote reference"/>
    <w:basedOn w:val="Policepardfaut"/>
    <w:uiPriority w:val="99"/>
    <w:semiHidden/>
    <w:unhideWhenUsed/>
    <w:rsid w:val="00DF7387"/>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7CF9D-2919-4CA3-8931-6313891D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1859</Words>
  <Characters>10228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2026-01-12T21:23:00Z</dcterms:created>
  <dcterms:modified xsi:type="dcterms:W3CDTF">2026-01-12T21:23:00Z</dcterms:modified>
</cp:coreProperties>
</file>