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A4A" w:rsidRDefault="00BF2C29" w:rsidP="007B7A4A">
      <w:pPr>
        <w:bidi/>
        <w:jc w:val="both"/>
        <w:rPr>
          <w:b/>
          <w:bCs/>
          <w:sz w:val="36"/>
          <w:szCs w:val="36"/>
          <w:rtl/>
          <w:lang w:bidi="ar-AE"/>
        </w:rPr>
      </w:pPr>
      <w:r>
        <w:rPr>
          <w:rFonts w:hint="cs"/>
          <w:b/>
          <w:bCs/>
          <w:sz w:val="36"/>
          <w:szCs w:val="36"/>
          <w:rtl/>
          <w:lang w:bidi="ar-AE"/>
        </w:rPr>
        <w:t xml:space="preserve">محاضرات مقياس المصادر </w:t>
      </w:r>
    </w:p>
    <w:p w:rsidR="00BF2C29" w:rsidRDefault="00BF2C29" w:rsidP="00BF2C29">
      <w:pPr>
        <w:bidi/>
        <w:jc w:val="both"/>
        <w:rPr>
          <w:b/>
          <w:bCs/>
          <w:sz w:val="36"/>
          <w:szCs w:val="36"/>
          <w:rtl/>
          <w:lang w:bidi="ar-AE"/>
        </w:rPr>
      </w:pPr>
      <w:r>
        <w:rPr>
          <w:rFonts w:hint="cs"/>
          <w:b/>
          <w:bCs/>
          <w:sz w:val="36"/>
          <w:szCs w:val="36"/>
          <w:rtl/>
          <w:lang w:bidi="ar-AE"/>
        </w:rPr>
        <w:t>السنة الأولى المج 2 (2025-2026)</w:t>
      </w:r>
    </w:p>
    <w:p w:rsidR="00BF2C29" w:rsidRPr="006B3D19" w:rsidRDefault="00BF2C29" w:rsidP="00BF2C29">
      <w:pPr>
        <w:bidi/>
        <w:jc w:val="both"/>
        <w:rPr>
          <w:b/>
          <w:bCs/>
          <w:sz w:val="36"/>
          <w:szCs w:val="36"/>
          <w:rtl/>
          <w:lang w:bidi="ar-AE"/>
        </w:rPr>
      </w:pPr>
    </w:p>
    <w:p w:rsidR="00BF2C29" w:rsidRDefault="00BF2C29" w:rsidP="00BF2C29">
      <w:pPr>
        <w:bidi/>
        <w:jc w:val="both"/>
        <w:rPr>
          <w:b/>
          <w:bCs/>
          <w:sz w:val="36"/>
          <w:szCs w:val="36"/>
          <w:rtl/>
          <w:lang w:bidi="ar-AE"/>
        </w:rPr>
      </w:pPr>
      <w:r>
        <w:rPr>
          <w:rFonts w:hint="cs"/>
          <w:b/>
          <w:bCs/>
          <w:sz w:val="36"/>
          <w:szCs w:val="36"/>
          <w:rtl/>
          <w:lang w:bidi="ar-AE"/>
        </w:rPr>
        <w:t>المحاضرة الأولى: بين المصدر والمرجع والفرق بينهما</w:t>
      </w:r>
    </w:p>
    <w:p w:rsidR="006B3D19" w:rsidRDefault="006B3D19" w:rsidP="006B3D19">
      <w:pPr>
        <w:bidi/>
        <w:jc w:val="both"/>
        <w:rPr>
          <w:b/>
          <w:bCs/>
          <w:sz w:val="36"/>
          <w:szCs w:val="36"/>
          <w:rtl/>
          <w:lang w:bidi="ar-AE"/>
        </w:rPr>
      </w:pPr>
      <w:r>
        <w:rPr>
          <w:rFonts w:hint="cs"/>
          <w:b/>
          <w:bCs/>
          <w:sz w:val="36"/>
          <w:szCs w:val="36"/>
          <w:rtl/>
          <w:lang w:bidi="ar-AE"/>
        </w:rPr>
        <w:t>لا يخلو أيّ بحث من المصادر والمراجع، ولا يستطيع الباحث أن يخطُوَ في بحثه دون الاستعانة بالمصادر والمراجع التي تضيء له مساره، فالمصدر والمرجع هما عماد الباحث والأساس الذي يمدّه بكلّ موادّ البحث الأوّليّة، وهما كلّ ما يرجع إليه في البحث للإفادة منه، والأخذ منه، والسّير فيه، والرّجوع إليه، ومع ذلك فإنّ الفرق بينهما واضح.</w:t>
      </w:r>
    </w:p>
    <w:p w:rsidR="006B3D19" w:rsidRDefault="006B3D19" w:rsidP="006B3D19">
      <w:pPr>
        <w:bidi/>
        <w:jc w:val="both"/>
        <w:rPr>
          <w:b/>
          <w:bCs/>
          <w:sz w:val="36"/>
          <w:szCs w:val="36"/>
          <w:rtl/>
          <w:lang w:bidi="ar-AE"/>
        </w:rPr>
      </w:pPr>
      <w:r>
        <w:rPr>
          <w:rFonts w:hint="cs"/>
          <w:b/>
          <w:bCs/>
          <w:sz w:val="36"/>
          <w:szCs w:val="36"/>
          <w:rtl/>
          <w:lang w:bidi="ar-AE"/>
        </w:rPr>
        <w:t>1-تعريف المصدر:</w:t>
      </w:r>
    </w:p>
    <w:p w:rsidR="00570D17" w:rsidRDefault="00570D17" w:rsidP="00570D17">
      <w:pPr>
        <w:bidi/>
        <w:jc w:val="both"/>
        <w:rPr>
          <w:b/>
          <w:bCs/>
          <w:color w:val="C0504D" w:themeColor="accent2"/>
          <w:sz w:val="36"/>
          <w:szCs w:val="36"/>
          <w:rtl/>
          <w:lang w:bidi="ar-AE"/>
        </w:rPr>
      </w:pPr>
      <w:r>
        <w:rPr>
          <w:rFonts w:hint="cs"/>
          <w:b/>
          <w:bCs/>
          <w:sz w:val="36"/>
          <w:szCs w:val="36"/>
          <w:rtl/>
          <w:lang w:bidi="ar-AE"/>
        </w:rPr>
        <w:t xml:space="preserve">أ-لغة: "صدر: الصّدر أعلى مقدّم كلّ شيء، وصدْرُ القناة أعلاها، وصدر الأمر أوّله" </w:t>
      </w:r>
      <w:r w:rsidRPr="00570D17">
        <w:rPr>
          <w:rFonts w:hint="cs"/>
          <w:b/>
          <w:bCs/>
          <w:color w:val="C0504D" w:themeColor="accent2"/>
          <w:sz w:val="36"/>
          <w:szCs w:val="36"/>
          <w:rtl/>
          <w:lang w:bidi="ar-AE"/>
        </w:rPr>
        <w:t>كتاب العين ص94</w:t>
      </w:r>
      <w:r>
        <w:rPr>
          <w:rFonts w:hint="cs"/>
          <w:b/>
          <w:bCs/>
          <w:color w:val="C0504D" w:themeColor="accent2"/>
          <w:sz w:val="36"/>
          <w:szCs w:val="36"/>
          <w:rtl/>
          <w:lang w:bidi="ar-AE"/>
        </w:rPr>
        <w:t xml:space="preserve"> </w:t>
      </w:r>
      <w:r>
        <w:rPr>
          <w:rFonts w:hint="cs"/>
          <w:b/>
          <w:bCs/>
          <w:color w:val="000000" w:themeColor="text1"/>
          <w:sz w:val="36"/>
          <w:szCs w:val="36"/>
          <w:rtl/>
          <w:lang w:bidi="ar-AE"/>
        </w:rPr>
        <w:t xml:space="preserve">و"المصدر أصل الكلمة الذي تصدر عنه الأفعال، وتفسيره: أنّ المصادر كانت أوّل الكلام، كقولك: الذّهاب والسّمع والحفظ، وإنّما صَدَرَتْ الأفعال عنها، فيقال: ذهب ذهابا، وسمِع سَمْعًا وسماعا وحفظ حفظا" </w:t>
      </w:r>
      <w:r w:rsidRPr="00570D17">
        <w:rPr>
          <w:rFonts w:hint="cs"/>
          <w:b/>
          <w:bCs/>
          <w:color w:val="C0504D" w:themeColor="accent2"/>
          <w:sz w:val="36"/>
          <w:szCs w:val="36"/>
          <w:rtl/>
          <w:lang w:bidi="ar-AE"/>
        </w:rPr>
        <w:t>كتاب العين، ص96.</w:t>
      </w:r>
    </w:p>
    <w:p w:rsidR="00570D17" w:rsidRDefault="00570D17" w:rsidP="00F26CC5">
      <w:pPr>
        <w:bidi/>
        <w:jc w:val="both"/>
        <w:rPr>
          <w:b/>
          <w:bCs/>
          <w:color w:val="000000" w:themeColor="text1"/>
          <w:sz w:val="36"/>
          <w:szCs w:val="36"/>
          <w:rtl/>
          <w:lang w:bidi="ar-AE"/>
        </w:rPr>
      </w:pPr>
      <w:r>
        <w:rPr>
          <w:rFonts w:hint="cs"/>
          <w:b/>
          <w:bCs/>
          <w:color w:val="000000" w:themeColor="text1"/>
          <w:sz w:val="36"/>
          <w:szCs w:val="36"/>
          <w:rtl/>
          <w:lang w:bidi="ar-AE"/>
        </w:rPr>
        <w:t xml:space="preserve">ب-المصدر اصطلاحا: المصدر وسيلة أولى للتّثبّت، </w:t>
      </w:r>
      <w:r w:rsidR="00F26CC5">
        <w:rPr>
          <w:rFonts w:hint="cs"/>
          <w:b/>
          <w:bCs/>
          <w:color w:val="000000" w:themeColor="text1"/>
          <w:sz w:val="36"/>
          <w:szCs w:val="36"/>
          <w:rtl/>
          <w:lang w:bidi="ar-AE"/>
        </w:rPr>
        <w:t xml:space="preserve">والتوثيق </w:t>
      </w:r>
      <w:r>
        <w:rPr>
          <w:rFonts w:hint="cs"/>
          <w:b/>
          <w:bCs/>
          <w:color w:val="000000" w:themeColor="text1"/>
          <w:sz w:val="36"/>
          <w:szCs w:val="36"/>
          <w:rtl/>
          <w:lang w:bidi="ar-AE"/>
        </w:rPr>
        <w:t>والاطمئنان</w:t>
      </w:r>
      <w:r w:rsidR="00F26CC5">
        <w:rPr>
          <w:rFonts w:hint="cs"/>
          <w:b/>
          <w:bCs/>
          <w:color w:val="000000" w:themeColor="text1"/>
          <w:sz w:val="36"/>
          <w:szCs w:val="36"/>
          <w:rtl/>
          <w:lang w:bidi="ar-AE"/>
        </w:rPr>
        <w:t xml:space="preserve"> إلى صدق الخبر أو جّة المقولة من عدم</w:t>
      </w:r>
      <w:r w:rsidR="002576E4">
        <w:rPr>
          <w:rFonts w:hint="cs"/>
          <w:b/>
          <w:bCs/>
          <w:color w:val="000000" w:themeColor="text1"/>
          <w:sz w:val="36"/>
          <w:szCs w:val="36"/>
          <w:rtl/>
          <w:lang w:bidi="ar-AE"/>
        </w:rPr>
        <w:t>ها، فإذا أردت التّشكيك في أمر ما وجئت على مصدره بانت الحقيقة، وتجلّت الرؤية، وتكشّفت حدود الخطّ الفاصل بين الصّحيح والزّائف"</w:t>
      </w:r>
      <w:r w:rsidR="002576E4">
        <w:rPr>
          <w:rStyle w:val="Appelnotedebasdep"/>
          <w:b/>
          <w:bCs/>
          <w:color w:val="000000" w:themeColor="text1"/>
          <w:sz w:val="36"/>
          <w:szCs w:val="36"/>
          <w:rtl/>
          <w:lang w:bidi="ar-AE"/>
        </w:rPr>
        <w:footnoteReference w:id="2"/>
      </w:r>
      <w:r w:rsidR="002576E4">
        <w:rPr>
          <w:rFonts w:hint="cs"/>
          <w:b/>
          <w:bCs/>
          <w:color w:val="000000" w:themeColor="text1"/>
          <w:sz w:val="36"/>
          <w:szCs w:val="36"/>
          <w:rtl/>
          <w:lang w:bidi="ar-AE"/>
        </w:rPr>
        <w:t>، فالمصدر يجلي الحقائق ويرفع اللّبس.</w:t>
      </w:r>
    </w:p>
    <w:p w:rsidR="002576E4" w:rsidRDefault="002576E4" w:rsidP="00684437">
      <w:pPr>
        <w:bidi/>
        <w:jc w:val="both"/>
        <w:rPr>
          <w:b/>
          <w:bCs/>
          <w:color w:val="000000" w:themeColor="text1"/>
          <w:sz w:val="36"/>
          <w:szCs w:val="36"/>
          <w:rtl/>
          <w:lang w:bidi="ar-AE"/>
        </w:rPr>
      </w:pPr>
      <w:r>
        <w:rPr>
          <w:rFonts w:hint="cs"/>
          <w:b/>
          <w:bCs/>
          <w:color w:val="000000" w:themeColor="text1"/>
          <w:sz w:val="36"/>
          <w:szCs w:val="36"/>
          <w:rtl/>
          <w:lang w:bidi="ar-AE"/>
        </w:rPr>
        <w:t>والمصدر هو الكتاب الذي يتناول موضوعا بالمعالجة الشّاملة والعميقة، فيختصّ في علم من العلوم حتّى يصبح أصلا لا يمكن الاستغناء عنه، وعليه فإنّ "المصدر يحتوي على المادة الأصلية، والمرجع هو الكتاب الّذي رجع فيه صاحبه إلى هذه المادة في مصدرها وأفاد منها"</w:t>
      </w:r>
      <w:r>
        <w:rPr>
          <w:rStyle w:val="Appelnotedebasdep"/>
          <w:b/>
          <w:bCs/>
          <w:color w:val="000000" w:themeColor="text1"/>
          <w:sz w:val="36"/>
          <w:szCs w:val="36"/>
          <w:rtl/>
          <w:lang w:bidi="ar-AE"/>
        </w:rPr>
        <w:footnoteReference w:id="3"/>
      </w:r>
      <w:r w:rsidR="0003004D">
        <w:rPr>
          <w:rFonts w:hint="cs"/>
          <w:b/>
          <w:bCs/>
          <w:color w:val="000000" w:themeColor="text1"/>
          <w:sz w:val="36"/>
          <w:szCs w:val="36"/>
          <w:rtl/>
          <w:lang w:bidi="ar-AE"/>
        </w:rPr>
        <w:t xml:space="preserve">، كما أنّ المصدر يظلّ قادرا على خدمة قارئه؛ يسهم في صحّة توجّهاته وإصدار آرائه، وكأنّما وضع الخطّ </w:t>
      </w:r>
      <w:r w:rsidR="0003004D">
        <w:rPr>
          <w:rFonts w:hint="cs"/>
          <w:b/>
          <w:bCs/>
          <w:color w:val="000000" w:themeColor="text1"/>
          <w:sz w:val="36"/>
          <w:szCs w:val="36"/>
          <w:rtl/>
          <w:lang w:bidi="ar-AE"/>
        </w:rPr>
        <w:lastRenderedPageBreak/>
        <w:t>الفاصل بين المواقف الانطباعية التّأثريّ</w:t>
      </w:r>
      <w:r w:rsidR="00527BA5">
        <w:rPr>
          <w:rFonts w:hint="cs"/>
          <w:b/>
          <w:bCs/>
          <w:color w:val="000000" w:themeColor="text1"/>
          <w:sz w:val="36"/>
          <w:szCs w:val="36"/>
          <w:rtl/>
          <w:lang w:bidi="ar-AE"/>
        </w:rPr>
        <w:t>ة</w:t>
      </w:r>
      <w:r w:rsidR="0003004D">
        <w:rPr>
          <w:rFonts w:hint="cs"/>
          <w:b/>
          <w:bCs/>
          <w:color w:val="000000" w:themeColor="text1"/>
          <w:sz w:val="36"/>
          <w:szCs w:val="36"/>
          <w:rtl/>
          <w:lang w:bidi="ar-AE"/>
        </w:rPr>
        <w:t>، وبين عالم التّثبّت من صحّة المقولات أو قراءة الوثائق الكاشفة عن دقّتها أو تجاوزها للحقائق، ممّا يزيد من أهميّته، ويحتّم ضرورة التّعامل معه والعودة إليه</w:t>
      </w:r>
      <w:r w:rsidR="00820261">
        <w:rPr>
          <w:rFonts w:hint="cs"/>
          <w:b/>
          <w:bCs/>
          <w:color w:val="000000" w:themeColor="text1"/>
          <w:sz w:val="36"/>
          <w:szCs w:val="36"/>
          <w:rtl/>
          <w:lang w:bidi="ar-AE"/>
        </w:rPr>
        <w:t xml:space="preserve"> </w:t>
      </w:r>
      <w:r w:rsidR="0003004D">
        <w:rPr>
          <w:rFonts w:hint="cs"/>
          <w:b/>
          <w:bCs/>
          <w:color w:val="000000" w:themeColor="text1"/>
          <w:sz w:val="36"/>
          <w:szCs w:val="36"/>
          <w:rtl/>
          <w:lang w:bidi="ar-AE"/>
        </w:rPr>
        <w:t>والاطمئنان إلى صحّة المادة من خلاله"</w:t>
      </w:r>
      <w:r w:rsidR="0003004D">
        <w:rPr>
          <w:rStyle w:val="Appelnotedebasdep"/>
          <w:b/>
          <w:bCs/>
          <w:color w:val="000000" w:themeColor="text1"/>
          <w:sz w:val="36"/>
          <w:szCs w:val="36"/>
          <w:rtl/>
          <w:lang w:bidi="ar-AE"/>
        </w:rPr>
        <w:footnoteReference w:id="4"/>
      </w:r>
      <w:r w:rsidR="00684437">
        <w:rPr>
          <w:rFonts w:hint="cs"/>
          <w:b/>
          <w:bCs/>
          <w:color w:val="000000" w:themeColor="text1"/>
          <w:sz w:val="36"/>
          <w:szCs w:val="36"/>
          <w:rtl/>
          <w:lang w:bidi="ar-AE"/>
        </w:rPr>
        <w:t>.</w:t>
      </w:r>
    </w:p>
    <w:p w:rsidR="00534265" w:rsidRDefault="0003004D" w:rsidP="00534265">
      <w:pPr>
        <w:bidi/>
        <w:jc w:val="both"/>
        <w:rPr>
          <w:rFonts w:hint="cs"/>
          <w:b/>
          <w:bCs/>
          <w:color w:val="000000" w:themeColor="text1"/>
          <w:sz w:val="36"/>
          <w:szCs w:val="36"/>
          <w:rtl/>
          <w:lang w:bidi="ar-AE"/>
        </w:rPr>
      </w:pPr>
      <w:r>
        <w:rPr>
          <w:rFonts w:hint="cs"/>
          <w:b/>
          <w:bCs/>
          <w:color w:val="000000" w:themeColor="text1"/>
          <w:sz w:val="36"/>
          <w:szCs w:val="36"/>
          <w:rtl/>
          <w:lang w:bidi="ar-AE"/>
        </w:rPr>
        <w:t>وفي الواقع" ليس هناك تمييز محدّد وقاطع بين " المصدر" و"المرجع"، إذ أنّهما يتداخلان في كثير من الأحيان، ولكن يمكن القول "أنّ المصدر" هو كتاب يتضمّن مادة خام أو أوّليّة قابلة للدّراسة، و "المرجع" هو كلّ دراسة</w:t>
      </w:r>
      <w:r w:rsidR="00AF6CB8">
        <w:rPr>
          <w:rFonts w:hint="cs"/>
          <w:b/>
          <w:bCs/>
          <w:color w:val="000000" w:themeColor="text1"/>
          <w:sz w:val="36"/>
          <w:szCs w:val="36"/>
          <w:rtl/>
          <w:lang w:bidi="ar-AE"/>
        </w:rPr>
        <w:t xml:space="preserve"> يقوم بها شخص حول هذه المادة الأوّليّة، أو يعرضها بصورة تبيّن موقفه منها. ومن ثم يمكن أن يكون الكتاب مصدرا ومرجعا في الوقت ذاته، أو أن يكون مصدرا في وقت ومرجعا في وقت آخر"</w:t>
      </w:r>
      <w:r w:rsidR="00AF6CB8">
        <w:rPr>
          <w:rStyle w:val="Appelnotedebasdep"/>
          <w:b/>
          <w:bCs/>
          <w:color w:val="000000" w:themeColor="text1"/>
          <w:sz w:val="36"/>
          <w:szCs w:val="36"/>
          <w:rtl/>
          <w:lang w:bidi="ar-AE"/>
        </w:rPr>
        <w:footnoteReference w:id="5"/>
      </w:r>
      <w:r w:rsidR="00AF6CB8">
        <w:rPr>
          <w:rFonts w:hint="cs"/>
          <w:b/>
          <w:bCs/>
          <w:color w:val="000000" w:themeColor="text1"/>
          <w:sz w:val="36"/>
          <w:szCs w:val="36"/>
          <w:rtl/>
          <w:lang w:bidi="ar-AE"/>
        </w:rPr>
        <w:t xml:space="preserve"> والمثال على ذلك أنّه " إذا أخذنا ديوانا لشعر أحد الشّعراء فهذا يعدّ ال</w:t>
      </w:r>
      <w:r w:rsidR="00820261">
        <w:rPr>
          <w:rFonts w:hint="cs"/>
          <w:b/>
          <w:bCs/>
          <w:color w:val="000000" w:themeColor="text1"/>
          <w:sz w:val="36"/>
          <w:szCs w:val="36"/>
          <w:rtl/>
          <w:lang w:bidi="ar-AE"/>
        </w:rPr>
        <w:t xml:space="preserve">مصدر الأوّل لدراسة شعر هذا الشّاعر من جوانبه الفنّية واللغوية، وتكون هذه الدّراسات "مراجع" يرجع إليها عند دراسة هذا الشّاعر، وإذا أخذنا كتابا آخر جمع شعر عصر ما أو شعر أحد الشّعراء وعرضه من خلال اختياراته أو تفسيره ونقده لهذا الشّعر فإنّ مثل هذا الكتاب يُعدُّ "مصدرا" نستقي منه نصوص الشّعر الأصلية وهو "مرجع" من ناحية أخرى لمن جاء بعده من الدّارسين لهذا الشّعر. </w:t>
      </w:r>
      <w:r w:rsidR="00534265">
        <w:rPr>
          <w:rFonts w:hint="cs"/>
          <w:b/>
          <w:bCs/>
          <w:color w:val="000000" w:themeColor="text1"/>
          <w:sz w:val="36"/>
          <w:szCs w:val="36"/>
          <w:rtl/>
          <w:lang w:bidi="ar-AE"/>
        </w:rPr>
        <w:t>و</w:t>
      </w:r>
      <w:r w:rsidR="00820261">
        <w:rPr>
          <w:rFonts w:hint="cs"/>
          <w:b/>
          <w:bCs/>
          <w:color w:val="000000" w:themeColor="text1"/>
          <w:sz w:val="36"/>
          <w:szCs w:val="36"/>
          <w:rtl/>
          <w:lang w:bidi="ar-AE"/>
        </w:rPr>
        <w:t>هو يُعدّ مصدرا إذا أردنا دراسة هذا الم</w:t>
      </w:r>
      <w:r w:rsidR="00534265">
        <w:rPr>
          <w:rFonts w:hint="cs"/>
          <w:b/>
          <w:bCs/>
          <w:color w:val="000000" w:themeColor="text1"/>
          <w:sz w:val="36"/>
          <w:szCs w:val="36"/>
          <w:rtl/>
          <w:lang w:bidi="ar-AE"/>
        </w:rPr>
        <w:t>ؤلّف في التّفسير أو النقد الأدبي، وهكذا لا يقتصر "المصدر" على كونه "مصدرا" فقط أو كونه "مرجعا" فقط"</w:t>
      </w:r>
      <w:r w:rsidR="00534265">
        <w:rPr>
          <w:rStyle w:val="Appelnotedebasdep"/>
          <w:b/>
          <w:bCs/>
          <w:color w:val="000000" w:themeColor="text1"/>
          <w:sz w:val="36"/>
          <w:szCs w:val="36"/>
          <w:rtl/>
          <w:lang w:bidi="ar-AE"/>
        </w:rPr>
        <w:footnoteReference w:id="6"/>
      </w:r>
      <w:r w:rsidR="00534265">
        <w:rPr>
          <w:rFonts w:hint="cs"/>
          <w:b/>
          <w:bCs/>
          <w:color w:val="000000" w:themeColor="text1"/>
          <w:sz w:val="36"/>
          <w:szCs w:val="36"/>
          <w:rtl/>
          <w:lang w:bidi="ar-AE"/>
        </w:rPr>
        <w:t>.</w:t>
      </w:r>
    </w:p>
    <w:p w:rsidR="00534265" w:rsidRDefault="00534265" w:rsidP="00534265">
      <w:pPr>
        <w:bidi/>
        <w:jc w:val="both"/>
        <w:rPr>
          <w:rFonts w:hint="cs"/>
          <w:b/>
          <w:bCs/>
          <w:color w:val="000000" w:themeColor="text1"/>
          <w:sz w:val="36"/>
          <w:szCs w:val="36"/>
          <w:rtl/>
          <w:lang w:bidi="ar-AE"/>
        </w:rPr>
      </w:pPr>
      <w:r>
        <w:rPr>
          <w:rFonts w:hint="cs"/>
          <w:b/>
          <w:bCs/>
          <w:color w:val="000000" w:themeColor="text1"/>
          <w:sz w:val="36"/>
          <w:szCs w:val="36"/>
          <w:rtl/>
          <w:lang w:bidi="ar-AE"/>
        </w:rPr>
        <w:t xml:space="preserve">وقد تفرّعت عن هذين المصطلحين مسمّيات أخرى مثل "المصدر الأساسي" و"المصدر المساعد"، فالأساسي هو الذي يتناول المادة الأساسية لمحتوى الدّراسة كأن تكون دراسة المعلقات، أمّا </w:t>
      </w:r>
      <w:r w:rsidR="00851BF6">
        <w:rPr>
          <w:rFonts w:hint="cs"/>
          <w:b/>
          <w:bCs/>
          <w:color w:val="000000" w:themeColor="text1"/>
          <w:sz w:val="36"/>
          <w:szCs w:val="36"/>
          <w:rtl/>
          <w:lang w:bidi="ar-AE"/>
        </w:rPr>
        <w:t xml:space="preserve">المصدر المساعد يكون مجموعة من الكتب الّتي تتناول الشّعر الجاهلي من حيث خصائصه، وهناك أيضا التصنيف الزّمني للمراجع، بين ما هو مراجع قديمة ومراجع حديثة، كما "صنفت لاتصالها المباشر بموضوع الدّراسة إلى مراجع أصلية ومراجع مساعدة، ثم </w:t>
      </w:r>
      <w:r w:rsidR="00851BF6">
        <w:rPr>
          <w:rFonts w:hint="cs"/>
          <w:b/>
          <w:bCs/>
          <w:color w:val="000000" w:themeColor="text1"/>
          <w:sz w:val="36"/>
          <w:szCs w:val="36"/>
          <w:rtl/>
          <w:lang w:bidi="ar-AE"/>
        </w:rPr>
        <w:lastRenderedPageBreak/>
        <w:t>هناك أيضا "المراجع العامة" التي تختص بميدان معيّن من ميادين العلوم والفنون ولكنها تجمع بينها مثل كتب الطّبقات ودوائر المعارف"</w:t>
      </w:r>
      <w:r w:rsidR="00851BF6">
        <w:rPr>
          <w:rStyle w:val="Appelnotedebasdep"/>
          <w:b/>
          <w:bCs/>
          <w:color w:val="000000" w:themeColor="text1"/>
          <w:sz w:val="36"/>
          <w:szCs w:val="36"/>
          <w:rtl/>
          <w:lang w:bidi="ar-AE"/>
        </w:rPr>
        <w:footnoteReference w:id="7"/>
      </w:r>
      <w:r w:rsidR="00851BF6">
        <w:rPr>
          <w:rFonts w:hint="cs"/>
          <w:b/>
          <w:bCs/>
          <w:color w:val="000000" w:themeColor="text1"/>
          <w:sz w:val="36"/>
          <w:szCs w:val="36"/>
          <w:rtl/>
          <w:lang w:bidi="ar-AE"/>
        </w:rPr>
        <w:t>.</w:t>
      </w:r>
    </w:p>
    <w:p w:rsidR="00851BF6" w:rsidRPr="00570D17" w:rsidRDefault="00851BF6" w:rsidP="00527BA5">
      <w:pPr>
        <w:bidi/>
        <w:jc w:val="both"/>
        <w:rPr>
          <w:b/>
          <w:bCs/>
          <w:color w:val="000000" w:themeColor="text1"/>
          <w:sz w:val="36"/>
          <w:szCs w:val="36"/>
          <w:rtl/>
          <w:lang w:bidi="ar-AE"/>
        </w:rPr>
      </w:pPr>
      <w:r>
        <w:rPr>
          <w:rFonts w:hint="cs"/>
          <w:b/>
          <w:bCs/>
          <w:color w:val="000000" w:themeColor="text1"/>
          <w:sz w:val="36"/>
          <w:szCs w:val="36"/>
          <w:rtl/>
          <w:lang w:bidi="ar-AE"/>
        </w:rPr>
        <w:t>صعوبة التّمييز بين المصدر والمرجع: رغم أنّ الاختلاف يبدو واضحا بين المصدر والمرجع إلّا أنّ هناك حالات يصعب فيها التّمييز بينهما، وهذا لتداخل المواد المعرفية بينهما</w:t>
      </w:r>
      <w:r w:rsidR="008D3429">
        <w:rPr>
          <w:rFonts w:hint="cs"/>
          <w:b/>
          <w:bCs/>
          <w:color w:val="000000" w:themeColor="text1"/>
          <w:sz w:val="36"/>
          <w:szCs w:val="36"/>
          <w:rtl/>
          <w:lang w:bidi="ar-AE"/>
        </w:rPr>
        <w:t xml:space="preserve"> واحتواء هذه الكتب على كثير من المادة الأصلية، وقد رأى الدكتور عز الدين إسماعيل ومن أجل تفادي جدلية المصدر والمرجع أو المراجع الأصلية والمراجع العامة أو المصادر الأساسية والمصادر المساعدة أنّ "كلّ دارس يستطيع أن يحدّد مصادره ومراجعه في كلّ حالة وفقا لطبيعة دراسته ولمنهجه في هذه الدّراسة، وعند هذا يصبح كلّ كتاب يمدّه بالمادة الأوّليّة </w:t>
      </w:r>
      <w:r w:rsidR="008D3429">
        <w:rPr>
          <w:b/>
          <w:bCs/>
          <w:color w:val="000000" w:themeColor="text1"/>
          <w:sz w:val="36"/>
          <w:szCs w:val="36"/>
          <w:rtl/>
          <w:lang w:bidi="ar-AE"/>
        </w:rPr>
        <w:t>–</w:t>
      </w:r>
      <w:r w:rsidR="008D3429">
        <w:rPr>
          <w:rFonts w:hint="cs"/>
          <w:b/>
          <w:bCs/>
          <w:color w:val="000000" w:themeColor="text1"/>
          <w:sz w:val="36"/>
          <w:szCs w:val="36"/>
          <w:rtl/>
          <w:lang w:bidi="ar-AE"/>
        </w:rPr>
        <w:t xml:space="preserve">أي مادة الدّراسة- "مصدرا"، وكلّ كتاب يلقي أضواء على هذه المادة، أو يقول فيها رأيا، فهو </w:t>
      </w:r>
      <w:r w:rsidR="008D3429">
        <w:rPr>
          <w:b/>
          <w:bCs/>
          <w:color w:val="000000" w:themeColor="text1"/>
          <w:sz w:val="36"/>
          <w:szCs w:val="36"/>
          <w:rtl/>
          <w:lang w:bidi="ar-AE"/>
        </w:rPr>
        <w:t>–</w:t>
      </w:r>
      <w:r w:rsidR="008D3429">
        <w:rPr>
          <w:rFonts w:hint="cs"/>
          <w:b/>
          <w:bCs/>
          <w:color w:val="000000" w:themeColor="text1"/>
          <w:sz w:val="36"/>
          <w:szCs w:val="36"/>
          <w:rtl/>
          <w:lang w:bidi="ar-AE"/>
        </w:rPr>
        <w:t>بالنسبة إليه- مرجع"</w:t>
      </w:r>
      <w:r w:rsidR="008D3429">
        <w:rPr>
          <w:rStyle w:val="Appelnotedebasdep"/>
          <w:b/>
          <w:bCs/>
          <w:color w:val="000000" w:themeColor="text1"/>
          <w:sz w:val="36"/>
          <w:szCs w:val="36"/>
          <w:rtl/>
          <w:lang w:bidi="ar-AE"/>
        </w:rPr>
        <w:footnoteReference w:id="8"/>
      </w:r>
      <w:r w:rsidR="008D3429">
        <w:rPr>
          <w:rFonts w:hint="cs"/>
          <w:b/>
          <w:bCs/>
          <w:color w:val="000000" w:themeColor="text1"/>
          <w:sz w:val="36"/>
          <w:szCs w:val="36"/>
          <w:rtl/>
          <w:lang w:bidi="ar-AE"/>
        </w:rPr>
        <w:t xml:space="preserve"> والمثال الذي يقدّمه هو أنّ</w:t>
      </w:r>
      <w:r w:rsidR="00527BA5">
        <w:rPr>
          <w:rFonts w:hint="cs"/>
          <w:b/>
          <w:bCs/>
          <w:color w:val="000000" w:themeColor="text1"/>
          <w:sz w:val="36"/>
          <w:szCs w:val="36"/>
          <w:rtl/>
          <w:lang w:bidi="ar-AE"/>
        </w:rPr>
        <w:t xml:space="preserve"> "الدّارس الذي يريد أن يدرس شعر ابن الرّومي </w:t>
      </w:r>
      <w:r w:rsidR="00527BA5">
        <w:rPr>
          <w:b/>
          <w:bCs/>
          <w:color w:val="000000" w:themeColor="text1"/>
          <w:sz w:val="36"/>
          <w:szCs w:val="36"/>
          <w:rtl/>
          <w:lang w:bidi="ar-AE"/>
        </w:rPr>
        <w:t>–</w:t>
      </w:r>
      <w:r w:rsidR="00527BA5">
        <w:rPr>
          <w:rFonts w:hint="cs"/>
          <w:b/>
          <w:bCs/>
          <w:color w:val="000000" w:themeColor="text1"/>
          <w:sz w:val="36"/>
          <w:szCs w:val="36"/>
          <w:rtl/>
          <w:lang w:bidi="ar-AE"/>
        </w:rPr>
        <w:t xml:space="preserve">مثلا- يكون ديوان الشّاعر وما اتّصل بحياته من أخبار "مصدرا" له، في حين يكون كتاب ككتاب "ابن الرّومي، حياته من شعره" للأستاذ عباس محمود العقاد "مرجعا"، ولكن هب أنّ موضوع هذه الدّراسة هو "الدراسات الأدبية في كتابات العقاد" فإنّ كتاب "ابن الرّومي، حياته من شعره" يصبح "مصدرا" من مصادر هذه الدّراسة، وتصبح هذه الدّراسة نفسها </w:t>
      </w:r>
      <w:r w:rsidR="00527BA5">
        <w:rPr>
          <w:b/>
          <w:bCs/>
          <w:color w:val="000000" w:themeColor="text1"/>
          <w:sz w:val="36"/>
          <w:szCs w:val="36"/>
          <w:rtl/>
          <w:lang w:bidi="ar-AE"/>
        </w:rPr>
        <w:t>–</w:t>
      </w:r>
      <w:r w:rsidR="00527BA5">
        <w:rPr>
          <w:rFonts w:hint="cs"/>
          <w:b/>
          <w:bCs/>
          <w:color w:val="000000" w:themeColor="text1"/>
          <w:sz w:val="36"/>
          <w:szCs w:val="36"/>
          <w:rtl/>
          <w:lang w:bidi="ar-AE"/>
        </w:rPr>
        <w:t>فيما بعد- مرجعا"</w:t>
      </w:r>
      <w:r w:rsidR="00527BA5">
        <w:rPr>
          <w:rStyle w:val="Appelnotedebasdep"/>
          <w:b/>
          <w:bCs/>
          <w:color w:val="000000" w:themeColor="text1"/>
          <w:sz w:val="36"/>
          <w:szCs w:val="36"/>
          <w:rtl/>
          <w:lang w:bidi="ar-AE"/>
        </w:rPr>
        <w:footnoteReference w:id="9"/>
      </w:r>
      <w:r w:rsidR="00527BA5">
        <w:rPr>
          <w:rFonts w:hint="cs"/>
          <w:b/>
          <w:bCs/>
          <w:color w:val="000000" w:themeColor="text1"/>
          <w:sz w:val="36"/>
          <w:szCs w:val="36"/>
          <w:rtl/>
          <w:lang w:bidi="ar-AE"/>
        </w:rPr>
        <w:t>.</w:t>
      </w:r>
    </w:p>
    <w:p w:rsidR="006B3D19" w:rsidRDefault="006B3D19" w:rsidP="006B3D19">
      <w:pPr>
        <w:bidi/>
        <w:jc w:val="both"/>
        <w:rPr>
          <w:b/>
          <w:bCs/>
          <w:sz w:val="36"/>
          <w:szCs w:val="36"/>
          <w:rtl/>
          <w:lang w:bidi="ar-AE"/>
        </w:rPr>
      </w:pPr>
    </w:p>
    <w:p w:rsidR="006B3D19" w:rsidRDefault="006B3D19" w:rsidP="006B3D19">
      <w:pPr>
        <w:bidi/>
        <w:jc w:val="both"/>
        <w:rPr>
          <w:b/>
          <w:bCs/>
          <w:sz w:val="36"/>
          <w:szCs w:val="36"/>
          <w:rtl/>
          <w:lang w:bidi="ar-AE"/>
        </w:rPr>
      </w:pPr>
    </w:p>
    <w:p w:rsidR="00BF2C29" w:rsidRDefault="00684437" w:rsidP="00BF2C29">
      <w:pPr>
        <w:bidi/>
        <w:jc w:val="both"/>
        <w:rPr>
          <w:rFonts w:hint="cs"/>
          <w:sz w:val="24"/>
          <w:szCs w:val="24"/>
          <w:rtl/>
          <w:lang w:bidi="ar-AE"/>
        </w:rPr>
      </w:pPr>
      <w:r>
        <w:rPr>
          <w:rFonts w:hint="cs"/>
          <w:sz w:val="24"/>
          <w:szCs w:val="24"/>
          <w:rtl/>
          <w:lang w:bidi="ar-AE"/>
        </w:rPr>
        <w:t>المحاضرة الثانية:بيبليوغرافيا المصنفات الأدبية والنقدية واللغوية:</w:t>
      </w:r>
    </w:p>
    <w:p w:rsidR="00684437" w:rsidRPr="00684437" w:rsidRDefault="00684437" w:rsidP="00684437">
      <w:pPr>
        <w:bidi/>
        <w:jc w:val="both"/>
        <w:rPr>
          <w:b/>
          <w:bCs/>
          <w:sz w:val="32"/>
          <w:szCs w:val="32"/>
          <w:rtl/>
          <w:lang w:bidi="ar-AE"/>
        </w:rPr>
      </w:pPr>
    </w:p>
    <w:sectPr w:rsidR="00684437" w:rsidRPr="00684437" w:rsidSect="00A0519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5951" w:rsidRDefault="00BB5951" w:rsidP="00361EA2">
      <w:pPr>
        <w:spacing w:after="0" w:line="240" w:lineRule="auto"/>
      </w:pPr>
      <w:r>
        <w:separator/>
      </w:r>
    </w:p>
  </w:endnote>
  <w:endnote w:type="continuationSeparator" w:id="1">
    <w:p w:rsidR="00BB5951" w:rsidRDefault="00BB5951" w:rsidP="00361E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BF6" w:rsidRDefault="00851BF6">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5140063"/>
      <w:docPartObj>
        <w:docPartGallery w:val="Page Numbers (Bottom of Page)"/>
        <w:docPartUnique/>
      </w:docPartObj>
    </w:sdtPr>
    <w:sdtContent>
      <w:p w:rsidR="00851BF6" w:rsidRDefault="00851BF6">
        <w:pPr>
          <w:pStyle w:val="Pieddepage"/>
          <w:jc w:val="center"/>
        </w:pPr>
        <w:fldSimple w:instr=" PAGE   \* MERGEFORMAT ">
          <w:r w:rsidR="00684437">
            <w:rPr>
              <w:noProof/>
            </w:rPr>
            <w:t>3</w:t>
          </w:r>
        </w:fldSimple>
      </w:p>
    </w:sdtContent>
  </w:sdt>
  <w:p w:rsidR="00851BF6" w:rsidRDefault="00851BF6">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BF6" w:rsidRDefault="00851BF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5951" w:rsidRDefault="00BB5951" w:rsidP="00361EA2">
      <w:pPr>
        <w:spacing w:after="0" w:line="240" w:lineRule="auto"/>
      </w:pPr>
      <w:r>
        <w:separator/>
      </w:r>
    </w:p>
  </w:footnote>
  <w:footnote w:type="continuationSeparator" w:id="1">
    <w:p w:rsidR="00BB5951" w:rsidRDefault="00BB5951" w:rsidP="00361EA2">
      <w:pPr>
        <w:spacing w:after="0" w:line="240" w:lineRule="auto"/>
      </w:pPr>
      <w:r>
        <w:continuationSeparator/>
      </w:r>
    </w:p>
  </w:footnote>
  <w:footnote w:id="2">
    <w:p w:rsidR="00851BF6" w:rsidRDefault="00851BF6" w:rsidP="002576E4">
      <w:pPr>
        <w:pStyle w:val="Notedebasdepage"/>
        <w:bidi/>
        <w:rPr>
          <w:rtl/>
          <w:lang w:bidi="ar-AE"/>
        </w:rPr>
      </w:pPr>
      <w:r>
        <w:rPr>
          <w:rStyle w:val="Appelnotedebasdep"/>
        </w:rPr>
        <w:footnoteRef/>
      </w:r>
      <w:r>
        <w:t xml:space="preserve"> </w:t>
      </w:r>
      <w:r>
        <w:rPr>
          <w:rFonts w:hint="cs"/>
          <w:rtl/>
        </w:rPr>
        <w:t xml:space="preserve"> مي يوسف خليف، مصادر تراثية، دار غريب للطّباعة والنّشر والتّوزيع، القاهرة، دط، دت،ص5.</w:t>
      </w:r>
    </w:p>
  </w:footnote>
  <w:footnote w:id="3">
    <w:p w:rsidR="00851BF6" w:rsidRDefault="00851BF6" w:rsidP="002576E4">
      <w:pPr>
        <w:pStyle w:val="Notedebasdepage"/>
        <w:bidi/>
        <w:rPr>
          <w:rtl/>
          <w:lang w:bidi="ar-AE"/>
        </w:rPr>
      </w:pPr>
      <w:r>
        <w:rPr>
          <w:rStyle w:val="Appelnotedebasdep"/>
        </w:rPr>
        <w:footnoteRef/>
      </w:r>
      <w:r>
        <w:t xml:space="preserve"> </w:t>
      </w:r>
      <w:r>
        <w:rPr>
          <w:rFonts w:hint="cs"/>
          <w:rtl/>
        </w:rPr>
        <w:t xml:space="preserve"> عز الدين إسماعيل، المصادر الأدبية واللّغوية في التّراث العربي، دار المسيرة للنّشر والتّوزيع والطّباعة، ط1، 2003، ص47.</w:t>
      </w:r>
    </w:p>
  </w:footnote>
  <w:footnote w:id="4">
    <w:p w:rsidR="00851BF6" w:rsidRDefault="00851BF6" w:rsidP="0003004D">
      <w:pPr>
        <w:pStyle w:val="Notedebasdepage"/>
        <w:bidi/>
        <w:rPr>
          <w:rtl/>
          <w:lang w:bidi="ar-AE"/>
        </w:rPr>
      </w:pPr>
      <w:r>
        <w:rPr>
          <w:rStyle w:val="Appelnotedebasdep"/>
        </w:rPr>
        <w:footnoteRef/>
      </w:r>
      <w:r>
        <w:t xml:space="preserve"> </w:t>
      </w:r>
      <w:r>
        <w:rPr>
          <w:rFonts w:hint="cs"/>
          <w:rtl/>
        </w:rPr>
        <w:t xml:space="preserve"> مي يوسف خليل، المرجع السابق، ص6.</w:t>
      </w:r>
    </w:p>
  </w:footnote>
  <w:footnote w:id="5">
    <w:p w:rsidR="00851BF6" w:rsidRDefault="00851BF6" w:rsidP="00AF6CB8">
      <w:pPr>
        <w:pStyle w:val="Notedebasdepage"/>
        <w:bidi/>
        <w:rPr>
          <w:rtl/>
          <w:lang w:bidi="ar-AE"/>
        </w:rPr>
      </w:pPr>
      <w:r>
        <w:rPr>
          <w:rStyle w:val="Appelnotedebasdep"/>
        </w:rPr>
        <w:footnoteRef/>
      </w:r>
      <w:r>
        <w:t xml:space="preserve"> </w:t>
      </w:r>
      <w:r>
        <w:rPr>
          <w:rFonts w:hint="cs"/>
          <w:rtl/>
        </w:rPr>
        <w:t xml:space="preserve"> أحمد شوقي، من المصادر الأدبية واللّغوية{ دار العلوم العربية، بيروت، لبنان، دط، 1990، ص5.</w:t>
      </w:r>
    </w:p>
  </w:footnote>
  <w:footnote w:id="6">
    <w:p w:rsidR="00851BF6" w:rsidRDefault="00851BF6" w:rsidP="00534265">
      <w:pPr>
        <w:pStyle w:val="Notedebasdepage"/>
        <w:bidi/>
        <w:rPr>
          <w:rFonts w:hint="cs"/>
          <w:rtl/>
          <w:lang w:bidi="ar-AE"/>
        </w:rPr>
      </w:pPr>
      <w:r>
        <w:rPr>
          <w:rStyle w:val="Appelnotedebasdep"/>
        </w:rPr>
        <w:footnoteRef/>
      </w:r>
      <w:r>
        <w:t xml:space="preserve"> </w:t>
      </w:r>
      <w:r>
        <w:rPr>
          <w:rFonts w:hint="cs"/>
          <w:rtl/>
        </w:rPr>
        <w:t xml:space="preserve"> المرجع نفسه، ص ن.</w:t>
      </w:r>
    </w:p>
  </w:footnote>
  <w:footnote w:id="7">
    <w:p w:rsidR="00851BF6" w:rsidRDefault="00851BF6" w:rsidP="00851BF6">
      <w:pPr>
        <w:pStyle w:val="Notedebasdepage"/>
        <w:bidi/>
        <w:rPr>
          <w:rFonts w:hint="cs"/>
          <w:rtl/>
          <w:lang w:bidi="ar-AE"/>
        </w:rPr>
      </w:pPr>
      <w:r>
        <w:rPr>
          <w:rStyle w:val="Appelnotedebasdep"/>
        </w:rPr>
        <w:footnoteRef/>
      </w:r>
      <w:r>
        <w:t xml:space="preserve"> </w:t>
      </w:r>
      <w:r>
        <w:rPr>
          <w:rFonts w:hint="cs"/>
          <w:rtl/>
        </w:rPr>
        <w:t xml:space="preserve"> المرجع السابق، ص6</w:t>
      </w:r>
    </w:p>
  </w:footnote>
  <w:footnote w:id="8">
    <w:p w:rsidR="008D3429" w:rsidRDefault="008D3429" w:rsidP="008D3429">
      <w:pPr>
        <w:pStyle w:val="Notedebasdepage"/>
        <w:bidi/>
        <w:rPr>
          <w:rFonts w:hint="cs"/>
          <w:rtl/>
          <w:lang w:bidi="ar-AE"/>
        </w:rPr>
      </w:pPr>
      <w:r>
        <w:rPr>
          <w:rStyle w:val="Appelnotedebasdep"/>
        </w:rPr>
        <w:footnoteRef/>
      </w:r>
      <w:r>
        <w:t xml:space="preserve"> </w:t>
      </w:r>
      <w:r>
        <w:rPr>
          <w:rFonts w:hint="cs"/>
          <w:rtl/>
        </w:rPr>
        <w:t xml:space="preserve"> عز الدين إسماعيل، مرجع سابق، ص49.</w:t>
      </w:r>
    </w:p>
  </w:footnote>
  <w:footnote w:id="9">
    <w:p w:rsidR="00527BA5" w:rsidRDefault="00527BA5" w:rsidP="00527BA5">
      <w:pPr>
        <w:pStyle w:val="Notedebasdepage"/>
        <w:bidi/>
        <w:rPr>
          <w:rFonts w:hint="cs"/>
          <w:rtl/>
          <w:lang w:bidi="ar-AE"/>
        </w:rPr>
      </w:pPr>
      <w:r>
        <w:rPr>
          <w:rStyle w:val="Appelnotedebasdep"/>
        </w:rPr>
        <w:footnoteRef/>
      </w:r>
      <w:r>
        <w:t xml:space="preserve"> </w:t>
      </w:r>
      <w:r>
        <w:rPr>
          <w:rFonts w:hint="cs"/>
          <w:rtl/>
        </w:rPr>
        <w:t xml:space="preserve"> المرجع نفسه، ص49.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BF6" w:rsidRDefault="00851BF6">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BF6" w:rsidRDefault="00851BF6">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BF6" w:rsidRDefault="00851BF6">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C283B"/>
    <w:multiLevelType w:val="hybridMultilevel"/>
    <w:tmpl w:val="7B5017A2"/>
    <w:lvl w:ilvl="0" w:tplc="5C709640">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nsid w:val="169F0F82"/>
    <w:multiLevelType w:val="multilevel"/>
    <w:tmpl w:val="257E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4305FC"/>
    <w:multiLevelType w:val="hybridMultilevel"/>
    <w:tmpl w:val="2584A570"/>
    <w:lvl w:ilvl="0" w:tplc="BAA6F9D6">
      <w:start w:val="1"/>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F240B"/>
    <w:rsid w:val="00004350"/>
    <w:rsid w:val="00007AAD"/>
    <w:rsid w:val="0003004D"/>
    <w:rsid w:val="000319B2"/>
    <w:rsid w:val="00051196"/>
    <w:rsid w:val="000827C4"/>
    <w:rsid w:val="000839CC"/>
    <w:rsid w:val="00092FBE"/>
    <w:rsid w:val="000A34BC"/>
    <w:rsid w:val="000A5B2D"/>
    <w:rsid w:val="000B4DEE"/>
    <w:rsid w:val="000B5EA1"/>
    <w:rsid w:val="000D0028"/>
    <w:rsid w:val="000D58E2"/>
    <w:rsid w:val="000E23C9"/>
    <w:rsid w:val="000E4310"/>
    <w:rsid w:val="000F05E5"/>
    <w:rsid w:val="000F50CC"/>
    <w:rsid w:val="00126A54"/>
    <w:rsid w:val="00146B7D"/>
    <w:rsid w:val="0015202C"/>
    <w:rsid w:val="001560EB"/>
    <w:rsid w:val="00166860"/>
    <w:rsid w:val="00167B92"/>
    <w:rsid w:val="00185585"/>
    <w:rsid w:val="00192B7D"/>
    <w:rsid w:val="0019617A"/>
    <w:rsid w:val="001A595B"/>
    <w:rsid w:val="001B4507"/>
    <w:rsid w:val="002576E4"/>
    <w:rsid w:val="00266B3F"/>
    <w:rsid w:val="00283992"/>
    <w:rsid w:val="00294E19"/>
    <w:rsid w:val="002B33AD"/>
    <w:rsid w:val="002C6A47"/>
    <w:rsid w:val="002D1E77"/>
    <w:rsid w:val="002E762C"/>
    <w:rsid w:val="00302230"/>
    <w:rsid w:val="00311B8E"/>
    <w:rsid w:val="00325920"/>
    <w:rsid w:val="00332197"/>
    <w:rsid w:val="00360255"/>
    <w:rsid w:val="00361EA2"/>
    <w:rsid w:val="00366BA7"/>
    <w:rsid w:val="003715A1"/>
    <w:rsid w:val="003B3FD2"/>
    <w:rsid w:val="003C064A"/>
    <w:rsid w:val="003C4055"/>
    <w:rsid w:val="003C49EA"/>
    <w:rsid w:val="003C6E4E"/>
    <w:rsid w:val="003E0D14"/>
    <w:rsid w:val="003E6E77"/>
    <w:rsid w:val="003F332D"/>
    <w:rsid w:val="003F4180"/>
    <w:rsid w:val="00404B8D"/>
    <w:rsid w:val="00414B62"/>
    <w:rsid w:val="00431294"/>
    <w:rsid w:val="0043248A"/>
    <w:rsid w:val="00441CFB"/>
    <w:rsid w:val="00461F0A"/>
    <w:rsid w:val="00494C4F"/>
    <w:rsid w:val="004C5763"/>
    <w:rsid w:val="004C67DF"/>
    <w:rsid w:val="004F30EF"/>
    <w:rsid w:val="004F4207"/>
    <w:rsid w:val="00527BA5"/>
    <w:rsid w:val="00534265"/>
    <w:rsid w:val="005555E4"/>
    <w:rsid w:val="00570D17"/>
    <w:rsid w:val="00574E41"/>
    <w:rsid w:val="00584BE9"/>
    <w:rsid w:val="0058625E"/>
    <w:rsid w:val="005A1FFB"/>
    <w:rsid w:val="005B3CCA"/>
    <w:rsid w:val="005D76A5"/>
    <w:rsid w:val="00603659"/>
    <w:rsid w:val="00613A64"/>
    <w:rsid w:val="00620545"/>
    <w:rsid w:val="006232CE"/>
    <w:rsid w:val="00626D27"/>
    <w:rsid w:val="00672789"/>
    <w:rsid w:val="00672E40"/>
    <w:rsid w:val="00684437"/>
    <w:rsid w:val="006A1813"/>
    <w:rsid w:val="006B305E"/>
    <w:rsid w:val="006B3D19"/>
    <w:rsid w:val="006C1823"/>
    <w:rsid w:val="006E6A21"/>
    <w:rsid w:val="006F2074"/>
    <w:rsid w:val="006F6357"/>
    <w:rsid w:val="00705379"/>
    <w:rsid w:val="007269AE"/>
    <w:rsid w:val="00733A67"/>
    <w:rsid w:val="0073532D"/>
    <w:rsid w:val="0075021E"/>
    <w:rsid w:val="0076537B"/>
    <w:rsid w:val="00766F4E"/>
    <w:rsid w:val="007A279E"/>
    <w:rsid w:val="007A39E5"/>
    <w:rsid w:val="007A3AC3"/>
    <w:rsid w:val="007B7A4A"/>
    <w:rsid w:val="007C7F28"/>
    <w:rsid w:val="007D083A"/>
    <w:rsid w:val="007E6A6F"/>
    <w:rsid w:val="007F2F3E"/>
    <w:rsid w:val="0080692E"/>
    <w:rsid w:val="00811161"/>
    <w:rsid w:val="00820261"/>
    <w:rsid w:val="00851BF6"/>
    <w:rsid w:val="00857790"/>
    <w:rsid w:val="00876BC4"/>
    <w:rsid w:val="00892D4C"/>
    <w:rsid w:val="008A70DA"/>
    <w:rsid w:val="008B2CAA"/>
    <w:rsid w:val="008B3BD2"/>
    <w:rsid w:val="008B73E9"/>
    <w:rsid w:val="008D3429"/>
    <w:rsid w:val="0091274F"/>
    <w:rsid w:val="00922721"/>
    <w:rsid w:val="00934059"/>
    <w:rsid w:val="00951F30"/>
    <w:rsid w:val="00980422"/>
    <w:rsid w:val="00986DFF"/>
    <w:rsid w:val="009A0106"/>
    <w:rsid w:val="009B073D"/>
    <w:rsid w:val="009D12C7"/>
    <w:rsid w:val="009F2DD9"/>
    <w:rsid w:val="00A0519B"/>
    <w:rsid w:val="00A16DD8"/>
    <w:rsid w:val="00A222AE"/>
    <w:rsid w:val="00A31D65"/>
    <w:rsid w:val="00A460F8"/>
    <w:rsid w:val="00A47C59"/>
    <w:rsid w:val="00A5530D"/>
    <w:rsid w:val="00A726F8"/>
    <w:rsid w:val="00A728FE"/>
    <w:rsid w:val="00A87478"/>
    <w:rsid w:val="00A934BC"/>
    <w:rsid w:val="00A95D0E"/>
    <w:rsid w:val="00AA3928"/>
    <w:rsid w:val="00AE52BA"/>
    <w:rsid w:val="00AF240B"/>
    <w:rsid w:val="00AF6CB8"/>
    <w:rsid w:val="00B030D4"/>
    <w:rsid w:val="00B275A9"/>
    <w:rsid w:val="00B365AF"/>
    <w:rsid w:val="00B60897"/>
    <w:rsid w:val="00B61BD9"/>
    <w:rsid w:val="00B637E1"/>
    <w:rsid w:val="00B67A82"/>
    <w:rsid w:val="00B7124C"/>
    <w:rsid w:val="00B76A4E"/>
    <w:rsid w:val="00BA1BD1"/>
    <w:rsid w:val="00BB4591"/>
    <w:rsid w:val="00BB5951"/>
    <w:rsid w:val="00BE0788"/>
    <w:rsid w:val="00BF03B9"/>
    <w:rsid w:val="00BF2C29"/>
    <w:rsid w:val="00C00D39"/>
    <w:rsid w:val="00C33E05"/>
    <w:rsid w:val="00C35C67"/>
    <w:rsid w:val="00C60FAA"/>
    <w:rsid w:val="00CA1B92"/>
    <w:rsid w:val="00CE42EE"/>
    <w:rsid w:val="00D12067"/>
    <w:rsid w:val="00D15984"/>
    <w:rsid w:val="00D2005D"/>
    <w:rsid w:val="00D563B2"/>
    <w:rsid w:val="00D6024C"/>
    <w:rsid w:val="00D723DC"/>
    <w:rsid w:val="00D804D1"/>
    <w:rsid w:val="00D83916"/>
    <w:rsid w:val="00D924BD"/>
    <w:rsid w:val="00D942FA"/>
    <w:rsid w:val="00D94923"/>
    <w:rsid w:val="00DE3B59"/>
    <w:rsid w:val="00DE564C"/>
    <w:rsid w:val="00DE645D"/>
    <w:rsid w:val="00E27829"/>
    <w:rsid w:val="00E459C3"/>
    <w:rsid w:val="00E6177B"/>
    <w:rsid w:val="00E63CD8"/>
    <w:rsid w:val="00E72D18"/>
    <w:rsid w:val="00E939F4"/>
    <w:rsid w:val="00EA6C4E"/>
    <w:rsid w:val="00EC64A1"/>
    <w:rsid w:val="00ED617F"/>
    <w:rsid w:val="00EF7469"/>
    <w:rsid w:val="00F17B68"/>
    <w:rsid w:val="00F26CC5"/>
    <w:rsid w:val="00F31AF4"/>
    <w:rsid w:val="00F4029E"/>
    <w:rsid w:val="00F45DF2"/>
    <w:rsid w:val="00F80408"/>
    <w:rsid w:val="00F876C5"/>
    <w:rsid w:val="00F92B0F"/>
    <w:rsid w:val="00F96DED"/>
    <w:rsid w:val="00FA1EF6"/>
    <w:rsid w:val="00FD43E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19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361EA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61EA2"/>
  </w:style>
  <w:style w:type="paragraph" w:styleId="Pieddepage">
    <w:name w:val="footer"/>
    <w:basedOn w:val="Normal"/>
    <w:link w:val="PieddepageCar"/>
    <w:uiPriority w:val="99"/>
    <w:unhideWhenUsed/>
    <w:rsid w:val="00361E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1EA2"/>
  </w:style>
  <w:style w:type="paragraph" w:styleId="Paragraphedeliste">
    <w:name w:val="List Paragraph"/>
    <w:basedOn w:val="Normal"/>
    <w:uiPriority w:val="34"/>
    <w:qFormat/>
    <w:rsid w:val="00325920"/>
    <w:pPr>
      <w:ind w:left="720"/>
      <w:contextualSpacing/>
    </w:pPr>
  </w:style>
  <w:style w:type="character" w:styleId="Lienhypertexte">
    <w:name w:val="Hyperlink"/>
    <w:basedOn w:val="Policepardfaut"/>
    <w:uiPriority w:val="99"/>
    <w:semiHidden/>
    <w:unhideWhenUsed/>
    <w:rsid w:val="00D804D1"/>
    <w:rPr>
      <w:color w:val="0000FF"/>
      <w:u w:val="single"/>
    </w:rPr>
  </w:style>
  <w:style w:type="character" w:customStyle="1" w:styleId="c-font-size-switchertext">
    <w:name w:val="c-font-size-switcher__text"/>
    <w:basedOn w:val="Policepardfaut"/>
    <w:rsid w:val="00D804D1"/>
  </w:style>
  <w:style w:type="paragraph" w:styleId="NormalWeb">
    <w:name w:val="Normal (Web)"/>
    <w:basedOn w:val="Normal"/>
    <w:uiPriority w:val="99"/>
    <w:semiHidden/>
    <w:unhideWhenUsed/>
    <w:rsid w:val="00D804D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2576E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576E4"/>
    <w:rPr>
      <w:sz w:val="20"/>
      <w:szCs w:val="20"/>
    </w:rPr>
  </w:style>
  <w:style w:type="character" w:styleId="Appelnotedebasdep">
    <w:name w:val="footnote reference"/>
    <w:basedOn w:val="Policepardfaut"/>
    <w:uiPriority w:val="99"/>
    <w:semiHidden/>
    <w:unhideWhenUsed/>
    <w:rsid w:val="002576E4"/>
    <w:rPr>
      <w:vertAlign w:val="superscript"/>
    </w:rPr>
  </w:style>
</w:styles>
</file>

<file path=word/webSettings.xml><?xml version="1.0" encoding="utf-8"?>
<w:webSettings xmlns:r="http://schemas.openxmlformats.org/officeDocument/2006/relationships" xmlns:w="http://schemas.openxmlformats.org/wordprocessingml/2006/main">
  <w:divs>
    <w:div w:id="818154826">
      <w:bodyDiv w:val="1"/>
      <w:marLeft w:val="0"/>
      <w:marRight w:val="0"/>
      <w:marTop w:val="0"/>
      <w:marBottom w:val="0"/>
      <w:divBdr>
        <w:top w:val="none" w:sz="0" w:space="0" w:color="auto"/>
        <w:left w:val="none" w:sz="0" w:space="0" w:color="auto"/>
        <w:bottom w:val="none" w:sz="0" w:space="0" w:color="auto"/>
        <w:right w:val="none" w:sz="0" w:space="0" w:color="auto"/>
      </w:divBdr>
    </w:div>
    <w:div w:id="1467432671">
      <w:bodyDiv w:val="1"/>
      <w:marLeft w:val="0"/>
      <w:marRight w:val="0"/>
      <w:marTop w:val="0"/>
      <w:marBottom w:val="0"/>
      <w:divBdr>
        <w:top w:val="none" w:sz="0" w:space="0" w:color="auto"/>
        <w:left w:val="none" w:sz="0" w:space="0" w:color="auto"/>
        <w:bottom w:val="none" w:sz="0" w:space="0" w:color="auto"/>
        <w:right w:val="none" w:sz="0" w:space="0" w:color="auto"/>
      </w:divBdr>
      <w:divsChild>
        <w:div w:id="1674184223">
          <w:marLeft w:val="0"/>
          <w:marRight w:val="0"/>
          <w:marTop w:val="0"/>
          <w:marBottom w:val="0"/>
          <w:divBdr>
            <w:top w:val="none" w:sz="0" w:space="0" w:color="auto"/>
            <w:left w:val="none" w:sz="0" w:space="0" w:color="auto"/>
            <w:bottom w:val="none" w:sz="0" w:space="0" w:color="auto"/>
            <w:right w:val="none" w:sz="0" w:space="0" w:color="auto"/>
          </w:divBdr>
          <w:divsChild>
            <w:div w:id="592321774">
              <w:marLeft w:val="0"/>
              <w:marRight w:val="0"/>
              <w:marTop w:val="0"/>
              <w:marBottom w:val="0"/>
              <w:divBdr>
                <w:top w:val="none" w:sz="0" w:space="0" w:color="auto"/>
                <w:left w:val="none" w:sz="0" w:space="0" w:color="auto"/>
                <w:bottom w:val="none" w:sz="0" w:space="0" w:color="auto"/>
                <w:right w:val="none" w:sz="0" w:space="0" w:color="auto"/>
              </w:divBdr>
              <w:divsChild>
                <w:div w:id="2009406293">
                  <w:marLeft w:val="0"/>
                  <w:marRight w:val="0"/>
                  <w:marTop w:val="0"/>
                  <w:marBottom w:val="0"/>
                  <w:divBdr>
                    <w:top w:val="none" w:sz="0" w:space="0" w:color="auto"/>
                    <w:left w:val="none" w:sz="0" w:space="0" w:color="auto"/>
                    <w:bottom w:val="none" w:sz="0" w:space="0" w:color="auto"/>
                    <w:right w:val="none" w:sz="0" w:space="0" w:color="auto"/>
                  </w:divBdr>
                  <w:divsChild>
                    <w:div w:id="36556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56574">
          <w:marLeft w:val="0"/>
          <w:marRight w:val="0"/>
          <w:marTop w:val="0"/>
          <w:marBottom w:val="0"/>
          <w:divBdr>
            <w:top w:val="none" w:sz="0" w:space="0" w:color="auto"/>
            <w:left w:val="none" w:sz="0" w:space="0" w:color="auto"/>
            <w:bottom w:val="none" w:sz="0" w:space="0" w:color="auto"/>
            <w:right w:val="none" w:sz="0" w:space="0" w:color="auto"/>
          </w:divBdr>
          <w:divsChild>
            <w:div w:id="1325545849">
              <w:marLeft w:val="0"/>
              <w:marRight w:val="0"/>
              <w:marTop w:val="0"/>
              <w:marBottom w:val="0"/>
              <w:divBdr>
                <w:top w:val="none" w:sz="0" w:space="0" w:color="auto"/>
                <w:left w:val="none" w:sz="0" w:space="0" w:color="auto"/>
                <w:bottom w:val="none" w:sz="0" w:space="0" w:color="auto"/>
                <w:right w:val="none" w:sz="0" w:space="0" w:color="auto"/>
              </w:divBdr>
            </w:div>
            <w:div w:id="2143232130">
              <w:marLeft w:val="0"/>
              <w:marRight w:val="0"/>
              <w:marTop w:val="0"/>
              <w:marBottom w:val="0"/>
              <w:divBdr>
                <w:top w:val="none" w:sz="0" w:space="0" w:color="auto"/>
                <w:left w:val="none" w:sz="0" w:space="0" w:color="auto"/>
                <w:bottom w:val="none" w:sz="0" w:space="0" w:color="auto"/>
                <w:right w:val="none" w:sz="0" w:space="0" w:color="auto"/>
              </w:divBdr>
            </w:div>
            <w:div w:id="92333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EE445-2540-440E-AD1D-29F092F94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5139</TotalTime>
  <Pages>1</Pages>
  <Words>639</Words>
  <Characters>3515</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ECS</cp:lastModifiedBy>
  <cp:revision>58</cp:revision>
  <dcterms:created xsi:type="dcterms:W3CDTF">2018-03-04T08:04:00Z</dcterms:created>
  <dcterms:modified xsi:type="dcterms:W3CDTF">2026-02-07T08:58:00Z</dcterms:modified>
</cp:coreProperties>
</file>