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0B" w:rsidRDefault="007E170B" w:rsidP="00921C1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Syntagme/Paradigme</w:t>
      </w:r>
    </w:p>
    <w:p w:rsidR="007E170B" w:rsidRDefault="007E170B">
      <w:pPr>
        <w:rPr>
          <w:b/>
          <w:sz w:val="26"/>
          <w:szCs w:val="26"/>
        </w:rPr>
      </w:pPr>
    </w:p>
    <w:p w:rsidR="007E170B" w:rsidRDefault="00266798" w:rsidP="00A03D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Depuis Saussure, le système de la langue apparaît comme un réseau de relations réciproques entre éléments. Ces relations sont de deux types : </w:t>
      </w:r>
      <w:r w:rsidRPr="00266798">
        <w:rPr>
          <w:i/>
          <w:sz w:val="26"/>
          <w:szCs w:val="26"/>
        </w:rPr>
        <w:t>syntagmatique</w:t>
      </w:r>
      <w:r>
        <w:rPr>
          <w:sz w:val="26"/>
          <w:szCs w:val="26"/>
        </w:rPr>
        <w:t xml:space="preserve"> et </w:t>
      </w:r>
      <w:r w:rsidRPr="00266798">
        <w:rPr>
          <w:i/>
          <w:sz w:val="26"/>
          <w:szCs w:val="26"/>
        </w:rPr>
        <w:t>paradigmatique</w:t>
      </w:r>
      <w:r>
        <w:rPr>
          <w:sz w:val="26"/>
          <w:szCs w:val="26"/>
        </w:rPr>
        <w:t xml:space="preserve">. </w:t>
      </w:r>
      <w:r w:rsidR="00A03DBE">
        <w:rPr>
          <w:sz w:val="26"/>
          <w:szCs w:val="26"/>
        </w:rPr>
        <w:t>L’axe syntagmatique</w:t>
      </w:r>
    </w:p>
    <w:p w:rsidR="00A03DBE" w:rsidRDefault="00A03DBE" w:rsidP="00A03D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Saussure définit le syntagme comme la combinaison, sur la chaîne parlée, de deux ou plusieurs unités consécutives : </w:t>
      </w:r>
      <w:r w:rsidRPr="007B65DF">
        <w:rPr>
          <w:i/>
          <w:sz w:val="26"/>
          <w:szCs w:val="26"/>
        </w:rPr>
        <w:t>chez</w:t>
      </w:r>
      <w:r>
        <w:rPr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vous</w:t>
      </w:r>
      <w:r>
        <w:rPr>
          <w:sz w:val="26"/>
          <w:szCs w:val="26"/>
        </w:rPr>
        <w:t xml:space="preserve">, </w:t>
      </w:r>
      <w:r w:rsidRPr="007B65DF">
        <w:rPr>
          <w:i/>
          <w:sz w:val="26"/>
          <w:szCs w:val="26"/>
        </w:rPr>
        <w:t>une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belle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journée</w:t>
      </w:r>
      <w:r>
        <w:rPr>
          <w:sz w:val="26"/>
          <w:szCs w:val="26"/>
        </w:rPr>
        <w:t xml:space="preserve">, </w:t>
      </w:r>
      <w:r w:rsidRPr="007B65DF">
        <w:rPr>
          <w:i/>
          <w:sz w:val="26"/>
          <w:szCs w:val="26"/>
        </w:rPr>
        <w:t>sauver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des</w:t>
      </w:r>
      <w:r w:rsidR="007B65DF">
        <w:rPr>
          <w:i/>
          <w:sz w:val="26"/>
          <w:szCs w:val="26"/>
        </w:rPr>
        <w:t xml:space="preserve"> </w:t>
      </w:r>
      <w:r w:rsidRPr="007B65DF">
        <w:rPr>
          <w:i/>
          <w:sz w:val="26"/>
          <w:szCs w:val="26"/>
        </w:rPr>
        <w:t>vies</w:t>
      </w:r>
      <w:r>
        <w:rPr>
          <w:sz w:val="26"/>
          <w:szCs w:val="26"/>
        </w:rPr>
        <w:t xml:space="preserve">, etc. sont des syntagmes, dont la taille varie. </w:t>
      </w:r>
    </w:p>
    <w:p w:rsidR="00B7600B" w:rsidRDefault="007B65DF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Enchaînés les uns aux autres dans le discours, les mots entretiennent des rapports sur la base du caractère linéaire de la langue. Il est impossible de prononcer deux unités à la fois. C’est dans la successivité des unités que </w:t>
      </w:r>
      <w:r w:rsidR="00B7600B">
        <w:rPr>
          <w:sz w:val="26"/>
          <w:szCs w:val="26"/>
        </w:rPr>
        <w:t>l’on observe les rapports entre éléments présents.</w:t>
      </w:r>
      <w:r w:rsidR="00AB76E2">
        <w:rPr>
          <w:sz w:val="26"/>
          <w:szCs w:val="26"/>
        </w:rPr>
        <w:t xml:space="preserve"> Ces unités sont en </w:t>
      </w:r>
      <w:r w:rsidR="00AB76E2" w:rsidRPr="00AB76E2">
        <w:rPr>
          <w:i/>
          <w:sz w:val="26"/>
          <w:szCs w:val="26"/>
        </w:rPr>
        <w:t>contraste</w:t>
      </w:r>
      <w:r w:rsidR="00AB76E2">
        <w:rPr>
          <w:sz w:val="26"/>
          <w:szCs w:val="26"/>
        </w:rPr>
        <w:t xml:space="preserve">. On parle alors de rapports </w:t>
      </w:r>
      <w:r w:rsidR="00AB76E2" w:rsidRPr="00AB76E2">
        <w:rPr>
          <w:i/>
          <w:sz w:val="26"/>
          <w:szCs w:val="26"/>
        </w:rPr>
        <w:t>in</w:t>
      </w:r>
      <w:r w:rsidR="00AB76E2">
        <w:rPr>
          <w:sz w:val="26"/>
          <w:szCs w:val="26"/>
        </w:rPr>
        <w:t xml:space="preserve"> </w:t>
      </w:r>
      <w:proofErr w:type="spellStart"/>
      <w:r w:rsidR="00AB76E2" w:rsidRPr="00AB76E2">
        <w:rPr>
          <w:i/>
          <w:sz w:val="26"/>
          <w:szCs w:val="26"/>
        </w:rPr>
        <w:t>praesentia</w:t>
      </w:r>
      <w:proofErr w:type="spellEnd"/>
      <w:r w:rsidR="00AB76E2">
        <w:rPr>
          <w:sz w:val="26"/>
          <w:szCs w:val="26"/>
        </w:rPr>
        <w:t xml:space="preserve">, observables sur l’axe syntagmatique.  </w:t>
      </w:r>
    </w:p>
    <w:p w:rsidR="00AB76E2" w:rsidRDefault="00AB76E2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Les éléments présents et les rapports qui s’instaurent entre eux sont étudiés notamment du point de vue de leur combinaison et de leur disposition.</w:t>
      </w:r>
    </w:p>
    <w:p w:rsidR="00E513E0" w:rsidRDefault="00E513E0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En français, p</w:t>
      </w:r>
      <w:r w:rsidR="00AB76E2">
        <w:rPr>
          <w:sz w:val="26"/>
          <w:szCs w:val="26"/>
        </w:rPr>
        <w:t>ar exemple, les</w:t>
      </w:r>
      <w:r>
        <w:rPr>
          <w:sz w:val="26"/>
          <w:szCs w:val="26"/>
        </w:rPr>
        <w:t xml:space="preserve"> déterminants sont incompatibles entre eux (</w:t>
      </w:r>
      <w:r w:rsidRPr="00E513E0">
        <w:rPr>
          <w:i/>
          <w:sz w:val="26"/>
          <w:szCs w:val="26"/>
        </w:rPr>
        <w:t>la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cette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fleur</w:t>
      </w:r>
      <w:r>
        <w:rPr>
          <w:sz w:val="26"/>
          <w:szCs w:val="26"/>
        </w:rPr>
        <w:t>)*, mais ils sont compatibles avec l’adjectif qualificatif (</w:t>
      </w:r>
      <w:r w:rsidRPr="00E513E0">
        <w:rPr>
          <w:i/>
          <w:sz w:val="26"/>
          <w:szCs w:val="26"/>
        </w:rPr>
        <w:t>une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belle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fleur</w:t>
      </w:r>
      <w:r>
        <w:rPr>
          <w:sz w:val="26"/>
          <w:szCs w:val="26"/>
        </w:rPr>
        <w:t xml:space="preserve">). </w:t>
      </w:r>
    </w:p>
    <w:p w:rsidR="007B65DF" w:rsidRDefault="00E513E0" w:rsidP="00AB76E2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L’adjectif qualificatif peut aussi se placer avant ou après le nom qu’il caractérise, parfois avec des changements sémantiques non négligeables. Ex. : </w:t>
      </w:r>
      <w:r w:rsidRPr="00E513E0">
        <w:rPr>
          <w:i/>
          <w:sz w:val="26"/>
          <w:szCs w:val="26"/>
        </w:rPr>
        <w:t>un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grand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homme</w:t>
      </w:r>
      <w:r>
        <w:rPr>
          <w:sz w:val="26"/>
          <w:szCs w:val="26"/>
        </w:rPr>
        <w:t xml:space="preserve"> / </w:t>
      </w:r>
      <w:r w:rsidRPr="00E513E0">
        <w:rPr>
          <w:i/>
          <w:sz w:val="26"/>
          <w:szCs w:val="26"/>
        </w:rPr>
        <w:t>un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homme</w:t>
      </w:r>
      <w:r>
        <w:rPr>
          <w:i/>
          <w:sz w:val="26"/>
          <w:szCs w:val="26"/>
        </w:rPr>
        <w:t xml:space="preserve"> </w:t>
      </w:r>
      <w:r w:rsidRPr="00E513E0">
        <w:rPr>
          <w:i/>
          <w:sz w:val="26"/>
          <w:szCs w:val="26"/>
        </w:rPr>
        <w:t>grand</w:t>
      </w:r>
      <w:r>
        <w:rPr>
          <w:sz w:val="26"/>
          <w:szCs w:val="26"/>
        </w:rPr>
        <w:t xml:space="preserve">.     </w:t>
      </w:r>
      <w:r w:rsidR="00AB76E2">
        <w:rPr>
          <w:sz w:val="26"/>
          <w:szCs w:val="26"/>
        </w:rPr>
        <w:t xml:space="preserve">  </w:t>
      </w:r>
      <w:r w:rsidR="007B65DF">
        <w:rPr>
          <w:sz w:val="26"/>
          <w:szCs w:val="26"/>
        </w:rPr>
        <w:t xml:space="preserve">  </w:t>
      </w:r>
    </w:p>
    <w:p w:rsidR="00A03DBE" w:rsidRDefault="00A03DBE" w:rsidP="00A03DB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L’axe paradigmatique</w:t>
      </w:r>
    </w:p>
    <w:p w:rsidR="00995D43" w:rsidRDefault="00995D43" w:rsidP="00995D43">
      <w:pPr>
        <w:spacing w:line="360" w:lineRule="auto"/>
        <w:ind w:firstLine="708"/>
        <w:rPr>
          <w:b/>
          <w:sz w:val="26"/>
          <w:szCs w:val="26"/>
        </w:rPr>
      </w:pPr>
      <w:r>
        <w:rPr>
          <w:sz w:val="26"/>
          <w:szCs w:val="26"/>
        </w:rPr>
        <w:t xml:space="preserve">On observe les rapports paradigmatiques entre unités qui peuvent figurer dans le même contexte et qui, au moins dans ce contexte, s’excluent mutuellement.     </w:t>
      </w:r>
    </w:p>
    <w:p w:rsidR="00D72FF9" w:rsidRDefault="00995D43" w:rsidP="00995D4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Le paradigme désigne l’ensemble des unités qui peuvent commuter avec une unité linguistique donnée, c’est-à-dire qui peuvent apparaître dans le même contexte qu’elle. Ces unités sont </w:t>
      </w:r>
      <w:r w:rsidRPr="00995D43">
        <w:rPr>
          <w:i/>
          <w:sz w:val="26"/>
          <w:szCs w:val="26"/>
        </w:rPr>
        <w:t>en</w:t>
      </w:r>
      <w:r>
        <w:rPr>
          <w:i/>
          <w:sz w:val="26"/>
          <w:szCs w:val="26"/>
        </w:rPr>
        <w:t xml:space="preserve"> </w:t>
      </w:r>
      <w:r w:rsidRPr="00995D43">
        <w:rPr>
          <w:i/>
          <w:sz w:val="26"/>
          <w:szCs w:val="26"/>
        </w:rPr>
        <w:t>opposition</w:t>
      </w:r>
      <w:r>
        <w:rPr>
          <w:sz w:val="26"/>
          <w:szCs w:val="26"/>
        </w:rPr>
        <w:t xml:space="preserve">. On parle alors de rapports </w:t>
      </w:r>
      <w:r w:rsidRPr="00995D43">
        <w:rPr>
          <w:i/>
          <w:sz w:val="26"/>
          <w:szCs w:val="26"/>
        </w:rPr>
        <w:t>in</w:t>
      </w:r>
      <w:r>
        <w:rPr>
          <w:sz w:val="26"/>
          <w:szCs w:val="26"/>
        </w:rPr>
        <w:t xml:space="preserve"> </w:t>
      </w:r>
      <w:r w:rsidRPr="00995D43">
        <w:rPr>
          <w:i/>
          <w:sz w:val="26"/>
          <w:szCs w:val="26"/>
        </w:rPr>
        <w:t>absentia</w:t>
      </w:r>
      <w:r>
        <w:rPr>
          <w:sz w:val="26"/>
          <w:szCs w:val="26"/>
        </w:rPr>
        <w:t>. Les unités qui appartiennent à un même paradigme sont donc en opposition paradigmatique.</w:t>
      </w:r>
      <w:r w:rsidR="00D72FF9">
        <w:rPr>
          <w:sz w:val="26"/>
          <w:szCs w:val="26"/>
        </w:rPr>
        <w:t xml:space="preserve"> Ex. : une chemise en … Toutes les matières textiles se retrouvent en opposition à l’intérieur du même paradigme : </w:t>
      </w:r>
      <w:r w:rsidR="00D72FF9" w:rsidRPr="00D72FF9">
        <w:rPr>
          <w:i/>
          <w:sz w:val="26"/>
          <w:szCs w:val="26"/>
        </w:rPr>
        <w:t>toile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soie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coton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jean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velours</w:t>
      </w:r>
      <w:r w:rsidR="00D72FF9">
        <w:rPr>
          <w:sz w:val="26"/>
          <w:szCs w:val="26"/>
        </w:rPr>
        <w:t xml:space="preserve">, </w:t>
      </w:r>
      <w:r w:rsidR="00D72FF9" w:rsidRPr="00D72FF9">
        <w:rPr>
          <w:i/>
          <w:sz w:val="26"/>
          <w:szCs w:val="26"/>
        </w:rPr>
        <w:t>nylon</w:t>
      </w:r>
      <w:r w:rsidR="00D72FF9">
        <w:rPr>
          <w:sz w:val="26"/>
          <w:szCs w:val="26"/>
        </w:rPr>
        <w:t xml:space="preserve">, etc. </w:t>
      </w:r>
    </w:p>
    <w:p w:rsidR="00000554" w:rsidRDefault="00D72FF9" w:rsidP="00995D43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Martinet précise que « les unités linguistiques, qu’elles soient signes ou phonèmes, sont entre elles dans deux types distincts de rapports : on a, d’une part, les rapports dans l’énoncé qui sont dits syntagmatiques et sont directement observables ». On dit que ces unités sont en contraste. « On a, d’autres part, les rapports que l’on conçoit entre des unités qui peuvent figurer dans un même contexte et qui, au moins dans ce contexte, s’excluent mutuellement ; ces rapports sont dits paradigmatiques ». On dit que ces unités sont en opposition.</w:t>
      </w:r>
      <w:r w:rsidR="00000554">
        <w:rPr>
          <w:sz w:val="26"/>
          <w:szCs w:val="26"/>
        </w:rPr>
        <w:t xml:space="preserve"> </w:t>
      </w:r>
    </w:p>
    <w:p w:rsidR="00000554" w:rsidRDefault="00000554" w:rsidP="0000055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Ex. : </w:t>
      </w:r>
      <w:r w:rsidRPr="00873103">
        <w:rPr>
          <w:i/>
          <w:sz w:val="26"/>
          <w:szCs w:val="26"/>
        </w:rPr>
        <w:t>Une</w:t>
      </w:r>
      <w:r>
        <w:rPr>
          <w:sz w:val="26"/>
          <w:szCs w:val="26"/>
        </w:rPr>
        <w:t xml:space="preserve"> </w:t>
      </w:r>
      <w:r w:rsidRPr="00873103">
        <w:rPr>
          <w:i/>
          <w:sz w:val="26"/>
          <w:szCs w:val="26"/>
        </w:rPr>
        <w:t>bonne</w:t>
      </w:r>
      <w:r>
        <w:rPr>
          <w:sz w:val="26"/>
          <w:szCs w:val="26"/>
        </w:rPr>
        <w:t xml:space="preserve"> </w:t>
      </w:r>
      <w:r w:rsidRPr="00873103">
        <w:rPr>
          <w:i/>
          <w:sz w:val="26"/>
          <w:szCs w:val="26"/>
        </w:rPr>
        <w:t>glace</w:t>
      </w:r>
    </w:p>
    <w:p w:rsidR="00066B4C" w:rsidRDefault="00000554" w:rsidP="0000055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Rapports syntagmatiques : </w:t>
      </w:r>
      <w:r w:rsidR="00066B4C" w:rsidRPr="00066B4C">
        <w:rPr>
          <w:i/>
          <w:sz w:val="26"/>
          <w:szCs w:val="26"/>
        </w:rPr>
        <w:t>bonne</w:t>
      </w:r>
      <w:r w:rsidR="00066B4C">
        <w:rPr>
          <w:sz w:val="26"/>
          <w:szCs w:val="26"/>
        </w:rPr>
        <w:t xml:space="preserve"> avec ses voisins </w:t>
      </w:r>
      <w:r w:rsidR="00066B4C" w:rsidRPr="00066B4C">
        <w:rPr>
          <w:i/>
          <w:sz w:val="26"/>
          <w:szCs w:val="26"/>
        </w:rPr>
        <w:t>une</w:t>
      </w:r>
      <w:r w:rsidR="00066B4C">
        <w:rPr>
          <w:sz w:val="26"/>
          <w:szCs w:val="26"/>
        </w:rPr>
        <w:t xml:space="preserve"> et </w:t>
      </w:r>
      <w:r w:rsidR="00066B4C" w:rsidRPr="00066B4C">
        <w:rPr>
          <w:i/>
          <w:sz w:val="26"/>
          <w:szCs w:val="26"/>
        </w:rPr>
        <w:t>glace</w:t>
      </w:r>
      <w:r w:rsidR="00066B4C">
        <w:rPr>
          <w:sz w:val="26"/>
          <w:szCs w:val="26"/>
        </w:rPr>
        <w:t xml:space="preserve">. </w:t>
      </w:r>
    </w:p>
    <w:p w:rsidR="007E170B" w:rsidRDefault="00066B4C" w:rsidP="00066B4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/n/ avec le /o/ qui le précède dans /</w:t>
      </w:r>
      <w:r w:rsidRPr="00066B4C">
        <w:rPr>
          <w:i/>
          <w:sz w:val="26"/>
          <w:szCs w:val="26"/>
        </w:rPr>
        <w:t>bon</w:t>
      </w:r>
      <w:r>
        <w:rPr>
          <w:sz w:val="26"/>
          <w:szCs w:val="26"/>
        </w:rPr>
        <w:t>/ et le /y/ qu’il suit dans /</w:t>
      </w:r>
      <w:proofErr w:type="spellStart"/>
      <w:r w:rsidRPr="00066B4C">
        <w:rPr>
          <w:i/>
          <w:sz w:val="26"/>
          <w:szCs w:val="26"/>
        </w:rPr>
        <w:t>yn</w:t>
      </w:r>
      <w:proofErr w:type="spellEnd"/>
      <w:r>
        <w:rPr>
          <w:sz w:val="26"/>
          <w:szCs w:val="26"/>
        </w:rPr>
        <w:t xml:space="preserve">/. </w:t>
      </w:r>
    </w:p>
    <w:p w:rsidR="00066B4C" w:rsidRDefault="00066B4C" w:rsidP="00066B4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Rapports paradigmatiques : </w:t>
      </w:r>
      <w:r w:rsidRPr="00066B4C">
        <w:rPr>
          <w:i/>
          <w:sz w:val="26"/>
          <w:szCs w:val="26"/>
        </w:rPr>
        <w:t>bonne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savoureuse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délicieuse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excellente</w:t>
      </w:r>
      <w:r>
        <w:rPr>
          <w:sz w:val="26"/>
          <w:szCs w:val="26"/>
        </w:rPr>
        <w:t xml:space="preserve">, </w:t>
      </w:r>
      <w:r w:rsidRPr="00066B4C">
        <w:rPr>
          <w:i/>
          <w:sz w:val="26"/>
          <w:szCs w:val="26"/>
        </w:rPr>
        <w:t>mauvaise</w:t>
      </w:r>
      <w:r>
        <w:rPr>
          <w:sz w:val="26"/>
          <w:szCs w:val="26"/>
        </w:rPr>
        <w:t xml:space="preserve"> qui peuvent figurer dans les mêmes contextes. </w:t>
      </w:r>
    </w:p>
    <w:p w:rsidR="00066B4C" w:rsidRDefault="00066B4C" w:rsidP="00066B4C">
      <w:pPr>
        <w:spacing w:line="360" w:lineRule="auto"/>
        <w:rPr>
          <w:b/>
          <w:sz w:val="26"/>
          <w:szCs w:val="26"/>
        </w:rPr>
      </w:pPr>
      <w:r w:rsidRPr="00066B4C">
        <w:rPr>
          <w:i/>
          <w:sz w:val="26"/>
          <w:szCs w:val="26"/>
        </w:rPr>
        <w:t>/n/, /t/, /s/, /l/</w:t>
      </w:r>
      <w:r>
        <w:rPr>
          <w:sz w:val="26"/>
          <w:szCs w:val="26"/>
        </w:rPr>
        <w:t xml:space="preserve"> qui peuvent figurer après /</w:t>
      </w:r>
      <w:proofErr w:type="spellStart"/>
      <w:r w:rsidRPr="004937A2">
        <w:rPr>
          <w:i/>
          <w:sz w:val="26"/>
          <w:szCs w:val="26"/>
        </w:rPr>
        <w:t>bo</w:t>
      </w:r>
      <w:proofErr w:type="spellEnd"/>
      <w:r>
        <w:rPr>
          <w:sz w:val="26"/>
          <w:szCs w:val="26"/>
        </w:rPr>
        <w:t>-/</w:t>
      </w:r>
      <w:r w:rsidR="00544FE9">
        <w:rPr>
          <w:sz w:val="26"/>
          <w:szCs w:val="26"/>
        </w:rPr>
        <w:t>.</w:t>
      </w: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p w:rsidR="007E170B" w:rsidRDefault="007E170B">
      <w:pPr>
        <w:rPr>
          <w:b/>
          <w:sz w:val="26"/>
          <w:szCs w:val="26"/>
        </w:rPr>
      </w:pPr>
    </w:p>
    <w:sectPr w:rsidR="007E170B" w:rsidSect="00000554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E170B"/>
    <w:rsid w:val="00000554"/>
    <w:rsid w:val="00066B4C"/>
    <w:rsid w:val="000774C5"/>
    <w:rsid w:val="000C6720"/>
    <w:rsid w:val="00160DD0"/>
    <w:rsid w:val="00177A54"/>
    <w:rsid w:val="00185839"/>
    <w:rsid w:val="001F6DBF"/>
    <w:rsid w:val="00266798"/>
    <w:rsid w:val="00277B6C"/>
    <w:rsid w:val="00306F8B"/>
    <w:rsid w:val="00480FA3"/>
    <w:rsid w:val="00482AE3"/>
    <w:rsid w:val="004937A2"/>
    <w:rsid w:val="00544FE9"/>
    <w:rsid w:val="006446E3"/>
    <w:rsid w:val="006654E1"/>
    <w:rsid w:val="00790F17"/>
    <w:rsid w:val="007B65DF"/>
    <w:rsid w:val="007E170B"/>
    <w:rsid w:val="007E6D5D"/>
    <w:rsid w:val="00873103"/>
    <w:rsid w:val="00921C1E"/>
    <w:rsid w:val="00995D43"/>
    <w:rsid w:val="009D01F5"/>
    <w:rsid w:val="00A03DBE"/>
    <w:rsid w:val="00AB76E2"/>
    <w:rsid w:val="00AE3F74"/>
    <w:rsid w:val="00B7600B"/>
    <w:rsid w:val="00CD7103"/>
    <w:rsid w:val="00D0487A"/>
    <w:rsid w:val="00D3025F"/>
    <w:rsid w:val="00D72FF9"/>
    <w:rsid w:val="00E513E0"/>
    <w:rsid w:val="00FE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7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acer mini</cp:lastModifiedBy>
  <cp:revision>4</cp:revision>
  <dcterms:created xsi:type="dcterms:W3CDTF">2021-05-19T13:50:00Z</dcterms:created>
  <dcterms:modified xsi:type="dcterms:W3CDTF">2022-03-26T00:04:00Z</dcterms:modified>
</cp:coreProperties>
</file>