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37" w:rsidRPr="005D3F37" w:rsidRDefault="005D3F37" w:rsidP="005D3F37">
      <w:pPr>
        <w:bidi/>
        <w:jc w:val="both"/>
        <w:rPr>
          <w:b/>
          <w:bCs/>
          <w:sz w:val="32"/>
          <w:szCs w:val="32"/>
          <w:lang w:bidi="ar-AE"/>
        </w:rPr>
      </w:pPr>
      <w:r w:rsidRPr="005D3F37">
        <w:rPr>
          <w:b/>
          <w:bCs/>
          <w:sz w:val="32"/>
          <w:szCs w:val="32"/>
          <w:rtl/>
          <w:lang w:bidi="ar-AE"/>
        </w:rPr>
        <w:t>المحاضرة الخامسة: لسان العرب لابن منظور</w:t>
      </w:r>
    </w:p>
    <w:p w:rsidR="005D3F37" w:rsidRPr="005D3F37" w:rsidRDefault="005D3F37" w:rsidP="005D3F37">
      <w:pPr>
        <w:bidi/>
        <w:jc w:val="both"/>
        <w:rPr>
          <w:sz w:val="32"/>
          <w:szCs w:val="32"/>
          <w:rtl/>
          <w:lang w:bidi="ar-AE"/>
        </w:rPr>
      </w:pPr>
      <w:r w:rsidRPr="005D3F37">
        <w:rPr>
          <w:b/>
          <w:bCs/>
          <w:sz w:val="32"/>
          <w:szCs w:val="32"/>
          <w:rtl/>
          <w:lang w:bidi="ar-AE"/>
        </w:rPr>
        <w:t xml:space="preserve">1-اسمه ونسبه: </w:t>
      </w:r>
      <w:r>
        <w:rPr>
          <w:sz w:val="32"/>
          <w:szCs w:val="32"/>
          <w:rtl/>
          <w:lang w:bidi="ar-AE"/>
        </w:rPr>
        <w:t>هو</w:t>
      </w:r>
      <w:r w:rsidRPr="005D3F37">
        <w:rPr>
          <w:b/>
          <w:bCs/>
          <w:sz w:val="32"/>
          <w:szCs w:val="32"/>
          <w:rtl/>
          <w:lang w:bidi="ar-AE"/>
        </w:rPr>
        <w:t>"جمال الدين أبو الفشل محمد بن جلال الدين أبي العز مكرم بن نجيب الدين أبي الحسن علي بن أحمد بن أبي القاسم بن حبقة بن محمّد بن منظور الأنصاري الإفريقي المصري"</w:t>
      </w:r>
      <w:r w:rsidRPr="005D3F37">
        <w:rPr>
          <w:rStyle w:val="Appelnotedebasdep"/>
          <w:b/>
          <w:bCs/>
          <w:sz w:val="32"/>
          <w:szCs w:val="32"/>
          <w:rtl/>
          <w:lang w:bidi="ar-AE"/>
        </w:rPr>
        <w:footnoteReference w:id="2"/>
      </w:r>
      <w:r w:rsidRPr="005D3F37">
        <w:rPr>
          <w:b/>
          <w:bCs/>
          <w:sz w:val="32"/>
          <w:szCs w:val="32"/>
          <w:rtl/>
          <w:lang w:bidi="ar-AE"/>
        </w:rPr>
        <w:t>، وهو "علم من أعلام اللغة العربية، بل إمام من أئمّتها الذين ذاع صيتهم في الآفاق، وخففت شهرته في الخافقين، إنّه الأديب اللوذعي، والجهبذ المحقّق، والرّاوي المدقّق، المكثر في التّصنيف والتّأليف"</w:t>
      </w:r>
      <w:r w:rsidRPr="005D3F37">
        <w:rPr>
          <w:rStyle w:val="Appelnotedebasdep"/>
          <w:b/>
          <w:bCs/>
          <w:sz w:val="32"/>
          <w:szCs w:val="32"/>
          <w:rtl/>
          <w:lang w:bidi="ar-AE"/>
        </w:rPr>
        <w:footnoteReference w:id="3"/>
      </w:r>
      <w:r w:rsidRPr="005D3F37">
        <w:rPr>
          <w:sz w:val="32"/>
          <w:szCs w:val="32"/>
          <w:rtl/>
          <w:lang w:bidi="ar-AE"/>
        </w:rPr>
        <w:t>، وقد استحسن أهل زمانه كتابه "لسان العرب"، كما لقي انتشارا واسعا في القرن العشرين.</w:t>
      </w:r>
    </w:p>
    <w:p w:rsidR="005D3F37" w:rsidRPr="005D3F37" w:rsidRDefault="005D3F37" w:rsidP="005D3F37">
      <w:pPr>
        <w:bidi/>
        <w:jc w:val="both"/>
        <w:rPr>
          <w:sz w:val="32"/>
          <w:szCs w:val="32"/>
          <w:rtl/>
          <w:lang w:bidi="ar-AE"/>
        </w:rPr>
      </w:pPr>
      <w:r w:rsidRPr="005D3F37">
        <w:rPr>
          <w:sz w:val="32"/>
          <w:szCs w:val="32"/>
          <w:rtl/>
          <w:lang w:bidi="ar-AE"/>
        </w:rPr>
        <w:t>نبغ ابن منظور في القرن السّابع الهجري، فهو عالم لغوي، ومن أكبر المصنّفين في معاجمها اللغوية، و</w:t>
      </w:r>
      <w:r w:rsidRPr="005D3F37">
        <w:rPr>
          <w:b/>
          <w:bCs/>
          <w:sz w:val="32"/>
          <w:szCs w:val="32"/>
          <w:rtl/>
          <w:lang w:bidi="ar-AE"/>
        </w:rPr>
        <w:t>"قد ذكر المؤرخون أنّ ولد في سنة 630 هجرية وتوفي سنة 711هجرية"</w:t>
      </w:r>
      <w:r w:rsidRPr="005D3F37">
        <w:rPr>
          <w:rStyle w:val="Appelnotedebasdep"/>
          <w:sz w:val="32"/>
          <w:szCs w:val="32"/>
          <w:rtl/>
          <w:lang w:bidi="ar-AE"/>
        </w:rPr>
        <w:footnoteReference w:id="4"/>
      </w:r>
      <w:r w:rsidRPr="005D3F37">
        <w:rPr>
          <w:sz w:val="32"/>
          <w:szCs w:val="32"/>
          <w:rtl/>
          <w:lang w:bidi="ar-AE"/>
        </w:rPr>
        <w:t>، وكان عالما بالنّحو واللغة والتّاريخ والكتابة، وقد أهّلته هذه المعرفة وهذه الثّقافة لأن يعمل ف ديوان الإنشاء بمصر، ثمّ ولّى القضاء في طرابلس، وكانت أغلب مؤلفاته اختصارات للكتب المطوّلة الّتي صنّفت قبله، فقد كان مغرما باختصار كتب الأدب المطوّلة والتّواريخ، وكان لا يملّ من ذلك.</w:t>
      </w:r>
    </w:p>
    <w:p w:rsidR="005D3F37" w:rsidRDefault="005D3F37" w:rsidP="005D3F37">
      <w:pPr>
        <w:bidi/>
        <w:jc w:val="both"/>
        <w:rPr>
          <w:sz w:val="32"/>
          <w:szCs w:val="32"/>
          <w:lang w:bidi="ar-AE"/>
        </w:rPr>
      </w:pPr>
      <w:r w:rsidRPr="005D3F37">
        <w:rPr>
          <w:b/>
          <w:bCs/>
          <w:sz w:val="32"/>
          <w:szCs w:val="32"/>
          <w:rtl/>
          <w:lang w:bidi="ar-AE"/>
        </w:rPr>
        <w:t>2-دوافع تأليف المعجم:</w:t>
      </w:r>
    </w:p>
    <w:p w:rsidR="005D3F37" w:rsidRPr="005D3F37" w:rsidRDefault="005D3F37" w:rsidP="005D3F37">
      <w:pPr>
        <w:bidi/>
        <w:jc w:val="both"/>
        <w:rPr>
          <w:sz w:val="32"/>
          <w:szCs w:val="32"/>
          <w:rtl/>
          <w:lang w:bidi="ar-AE"/>
        </w:rPr>
      </w:pPr>
      <w:r w:rsidRPr="005D3F37">
        <w:rPr>
          <w:sz w:val="32"/>
          <w:szCs w:val="32"/>
          <w:rtl/>
          <w:lang w:bidi="ar-AE"/>
        </w:rPr>
        <w:t xml:space="preserve"> ابن منظور من علماء اللغة العربية الذين شغفوا بجمعها وتدوينها، ومّما ورد في مقدّمة كتابه: </w:t>
      </w:r>
      <w:r w:rsidRPr="005D3F37">
        <w:rPr>
          <w:b/>
          <w:bCs/>
          <w:sz w:val="32"/>
          <w:szCs w:val="32"/>
          <w:rtl/>
          <w:lang w:bidi="ar-AE"/>
        </w:rPr>
        <w:t>"وإني لم أزل مشغوفا بمطالعات كتب اللغات والاطّلاع على تصانيفها، وعلل تصاريفها؛ ورأيت علماءها ما بين رجلين: أمّا من حسن جمعه فإنّه لم يحسن وضعه، وأمّا من أجاد وضعه فإنّه لم يُجدْ جمعه، فلم يُفد حسن الجمع مع إساءة الوضع، ولا نفعت إجادة الوضع مع رداءة الجمع"</w:t>
      </w:r>
      <w:r w:rsidRPr="005D3F37">
        <w:rPr>
          <w:rStyle w:val="Appelnotedebasdep"/>
          <w:sz w:val="32"/>
          <w:szCs w:val="32"/>
          <w:rtl/>
          <w:lang w:bidi="ar-AE"/>
        </w:rPr>
        <w:footnoteReference w:id="5"/>
      </w:r>
      <w:r w:rsidRPr="005D3F37">
        <w:rPr>
          <w:sz w:val="32"/>
          <w:szCs w:val="32"/>
          <w:rtl/>
          <w:lang w:bidi="ar-AE"/>
        </w:rPr>
        <w:t>، فقد راجع ابن منظور كلّ الطّرق التي سبقته في جمع اللغة وترتيبها ف</w:t>
      </w:r>
      <w:r w:rsidRPr="005D3F37">
        <w:rPr>
          <w:b/>
          <w:bCs/>
          <w:sz w:val="32"/>
          <w:szCs w:val="32"/>
          <w:rtl/>
          <w:lang w:bidi="ar-AE"/>
        </w:rPr>
        <w:t>"جاء هذا الكتاب بحمد اللّه واضح المنهج سهل السّلوك...وجمع من اللغات والشّواهد والأدلّة، ما لم يجْمع مثله؛ لأنّ كلّ واحد من هؤلاء العلماء انفرد برواية رواها، وبكلمة سمعها من العرب شفاها، ولم يأت في كتابه بكلّ ما في كتاب أخيه، ولا أقول تعاظم عن نقل ما نقله بل أقول استغنى بما فيه؛ فصارت الفوائد في كتبهم مفرّقة...فجمعت منها في هذا الكتاب ما تفرّق، وقرنت بين ما غرّب منها وما شرّق، فانتظم شمل تلك الأصول كلّها في هذا المجموع، وصار بمنزلة الأصل وأولئك بمنزلة الفروع"</w:t>
      </w:r>
      <w:r w:rsidRPr="005D3F37">
        <w:rPr>
          <w:rStyle w:val="Appelnotedebasdep"/>
          <w:b/>
          <w:bCs/>
          <w:sz w:val="32"/>
          <w:szCs w:val="32"/>
          <w:rtl/>
          <w:lang w:bidi="ar-AE"/>
        </w:rPr>
        <w:footnoteReference w:id="6"/>
      </w:r>
      <w:r w:rsidRPr="005D3F37">
        <w:rPr>
          <w:b/>
          <w:bCs/>
          <w:sz w:val="32"/>
          <w:szCs w:val="32"/>
          <w:rtl/>
          <w:lang w:bidi="ar-AE"/>
        </w:rPr>
        <w:t>.</w:t>
      </w:r>
    </w:p>
    <w:p w:rsidR="005D3F37" w:rsidRPr="005D3F37" w:rsidRDefault="005D3F37" w:rsidP="005D3F37">
      <w:pPr>
        <w:bidi/>
        <w:jc w:val="both"/>
        <w:rPr>
          <w:sz w:val="32"/>
          <w:szCs w:val="32"/>
          <w:rtl/>
          <w:lang w:bidi="ar-AE"/>
        </w:rPr>
      </w:pPr>
      <w:r w:rsidRPr="005D3F37">
        <w:rPr>
          <w:sz w:val="32"/>
          <w:szCs w:val="32"/>
          <w:rtl/>
          <w:lang w:bidi="ar-AE"/>
        </w:rPr>
        <w:lastRenderedPageBreak/>
        <w:t>فهو بوضعه هذا المعجم قد جمع بين الحسنتين: بين إحسان الجمع وإحسان الوضع، أي بين الاستقصاء في المادة وسلامة العرض، وقد ضرب مثلا ب"تهذيب اللغة" للأزهري، و"المحكم" لابن سيّده، على كتب اللغة الّتي توافرت في مادتها الدّقة والإتقان ولكن عابها سوء التّرتيب واختلاط التّبويب، ومن جهة أخرى ضرب مثلا ب"صحاح الجوهري" على حسن التّرتيب والنظام، وإن كان من حيث المادة مختصرا، فضلا عمّا فيه من الخطأ والتّحصين.</w:t>
      </w:r>
    </w:p>
    <w:p w:rsidR="005D3F37" w:rsidRPr="005D3F37" w:rsidRDefault="005D3F37" w:rsidP="005D3F37">
      <w:pPr>
        <w:bidi/>
        <w:jc w:val="both"/>
        <w:rPr>
          <w:sz w:val="32"/>
          <w:szCs w:val="32"/>
          <w:rtl/>
          <w:lang w:bidi="ar-AE"/>
        </w:rPr>
      </w:pPr>
      <w:r w:rsidRPr="005D3F37">
        <w:rPr>
          <w:sz w:val="32"/>
          <w:szCs w:val="32"/>
          <w:rtl/>
          <w:lang w:bidi="ar-AE"/>
        </w:rPr>
        <w:t xml:space="preserve">ومن ثمّ جعل ابن منظور بين يديه خمسة مصادر من هذه الكتب، جمع منها في معجمه أضل ما منها في معجمه أفضل ما فيها من حيث المادة والتّرتيب، وهذه تُعدّ </w:t>
      </w:r>
      <w:r w:rsidRPr="005D3F37">
        <w:rPr>
          <w:b/>
          <w:bCs/>
          <w:sz w:val="32"/>
          <w:szCs w:val="32"/>
          <w:rtl/>
          <w:lang w:bidi="ar-AE"/>
        </w:rPr>
        <w:t>"من أهمّ المعاجم العربية وأوثقها وهي: صحاح اللغة للجوهري، حواشي ابن برى على الصّحاح، تهذيب اللغة للأزهري، النهاية في غريب الحديث لابن الأثير، المحكم لابن سيّده، إضافة إلى كتب أخرى ذكرها في صميم الكتاب ناقلا منها ك" كناب النّبات لأبي حنيفة الدّينوري، وهو من الكتب التّراثية النّادرة والمفقودة"</w:t>
      </w:r>
      <w:r w:rsidRPr="005D3F37">
        <w:rPr>
          <w:rStyle w:val="Appelnotedebasdep"/>
          <w:b/>
          <w:bCs/>
          <w:sz w:val="32"/>
          <w:szCs w:val="32"/>
          <w:rtl/>
          <w:lang w:bidi="ar-AE"/>
        </w:rPr>
        <w:footnoteReference w:id="7"/>
      </w:r>
      <w:r w:rsidRPr="005D3F37">
        <w:rPr>
          <w:b/>
          <w:bCs/>
          <w:sz w:val="32"/>
          <w:szCs w:val="32"/>
          <w:rtl/>
          <w:lang w:bidi="ar-AE"/>
        </w:rPr>
        <w:t xml:space="preserve"> </w:t>
      </w:r>
      <w:r w:rsidRPr="005D3F37">
        <w:rPr>
          <w:sz w:val="32"/>
          <w:szCs w:val="32"/>
          <w:rtl/>
          <w:lang w:bidi="ar-AE"/>
        </w:rPr>
        <w:t xml:space="preserve">. </w:t>
      </w:r>
    </w:p>
    <w:p w:rsidR="005D3F37" w:rsidRPr="005D3F37" w:rsidRDefault="005D3F37" w:rsidP="005D3F37">
      <w:pPr>
        <w:bidi/>
        <w:jc w:val="both"/>
        <w:rPr>
          <w:sz w:val="32"/>
          <w:szCs w:val="32"/>
          <w:rtl/>
          <w:lang w:bidi="ar-AE"/>
        </w:rPr>
      </w:pPr>
      <w:r w:rsidRPr="005D3F37">
        <w:rPr>
          <w:sz w:val="32"/>
          <w:szCs w:val="32"/>
          <w:rtl/>
          <w:lang w:bidi="ar-AE"/>
        </w:rPr>
        <w:t>فعلى هذه المصادر كان معوله في تصنيف معجمه، وكأنّه قام بعمليّة توفيقية ب</w:t>
      </w:r>
      <w:r>
        <w:rPr>
          <w:sz w:val="32"/>
          <w:szCs w:val="32"/>
          <w:rtl/>
          <w:lang w:bidi="ar-AE"/>
        </w:rPr>
        <w:t>ين هذه المعاجم، وهو نفسه يقول</w:t>
      </w:r>
      <w:r w:rsidRPr="005D3F37">
        <w:rPr>
          <w:b/>
          <w:bCs/>
          <w:sz w:val="32"/>
          <w:szCs w:val="32"/>
          <w:rtl/>
          <w:lang w:bidi="ar-AE"/>
        </w:rPr>
        <w:t>:</w:t>
      </w:r>
      <w:r w:rsidRPr="005D3F37">
        <w:rPr>
          <w:b/>
          <w:bCs/>
          <w:sz w:val="32"/>
          <w:szCs w:val="32"/>
          <w:lang w:bidi="ar-AE"/>
        </w:rPr>
        <w:t xml:space="preserve"> </w:t>
      </w:r>
      <w:r w:rsidRPr="005D3F37">
        <w:rPr>
          <w:b/>
          <w:bCs/>
          <w:sz w:val="32"/>
          <w:szCs w:val="32"/>
          <w:rtl/>
          <w:lang w:bidi="ar-AE"/>
        </w:rPr>
        <w:t>"فجمعت منها في هذا الكتاب ما تفرّق، وقرنت بين ما غرّب منها وبين ما شرّق، فانتظم شمل تلك الأصول كلّها في هذا المجموع، ...وأنا مع ذلك لا أدّعي فيه دعوى فأقول شافهت أو سمعتُ أو فعلتُ أو صنعتُ أو شدَدْتُ أو رحلتُ، أو نقلتُ عن العرب العرباء أو حملتُ؛ فكلّ هذه الدّعاوى لم يترك فيها الأزهري وابن سيّده لقائل مقالا، ولم يخليا فيه لأحد مجالا،...وليس لي في هذا الكتاب فضيلة أمتُّ بها، ولا وسيلة أتمسّك بسببها، سوى أني جمعت فيه ما تفرّق في نلك الكتب من العلوم، وبسطت القول فيه"</w:t>
      </w:r>
      <w:r w:rsidRPr="005D3F37">
        <w:rPr>
          <w:rStyle w:val="Appelnotedebasdep"/>
          <w:b/>
          <w:bCs/>
          <w:sz w:val="32"/>
          <w:szCs w:val="32"/>
          <w:rtl/>
          <w:lang w:bidi="ar-AE"/>
        </w:rPr>
        <w:footnoteReference w:id="8"/>
      </w:r>
      <w:r w:rsidRPr="005D3F37">
        <w:rPr>
          <w:b/>
          <w:bCs/>
          <w:sz w:val="32"/>
          <w:szCs w:val="32"/>
          <w:rtl/>
          <w:lang w:bidi="ar-AE"/>
        </w:rPr>
        <w:t>.</w:t>
      </w:r>
    </w:p>
    <w:p w:rsidR="005D3F37" w:rsidRPr="005D3F37" w:rsidRDefault="005D3F37" w:rsidP="005D3F37">
      <w:pPr>
        <w:bidi/>
        <w:jc w:val="both"/>
        <w:rPr>
          <w:sz w:val="32"/>
          <w:szCs w:val="32"/>
          <w:rtl/>
          <w:lang w:bidi="ar-AE"/>
        </w:rPr>
      </w:pPr>
      <w:r w:rsidRPr="005D3F37">
        <w:rPr>
          <w:sz w:val="32"/>
          <w:szCs w:val="32"/>
          <w:rtl/>
          <w:lang w:bidi="ar-AE"/>
        </w:rPr>
        <w:t>وهذا ما يفسّر سبب إطالة "لسان العرب" حتّى صار في عشرين جزءا، حيث شاء ابن منظور أن يستوعب فيه ما اتّفقت فيه تلك المصادر الخمسة وما تفرّد به كلّ مصدر منها. ولهذا فهو يصرّح أنّه من عثر على صواب أو زلل فهو يحمد أو يذمّ الأصل الذي عوّل عليه، لأنّه نقل من كلّ أصل مضمونه، ولم يبدّل منه شيئا، بل أدّى الأمانة في نقل الأصول كما وردت ولم يتصرّف في غير ما جاء في النّص الأصلي، ولهذا فهو لم يبتكر في معجمه لشيء، أو مضيفا لشيء، سوى أنّه جعل من معجمه خزانة اللغة.</w:t>
      </w:r>
    </w:p>
    <w:p w:rsidR="005D3F37" w:rsidRPr="005D3F37" w:rsidRDefault="005D3F37" w:rsidP="005D3F37">
      <w:pPr>
        <w:bidi/>
        <w:jc w:val="both"/>
        <w:rPr>
          <w:b/>
          <w:bCs/>
          <w:sz w:val="32"/>
          <w:szCs w:val="32"/>
          <w:rtl/>
          <w:lang w:bidi="ar-AE"/>
        </w:rPr>
      </w:pPr>
      <w:r w:rsidRPr="005D3F37">
        <w:rPr>
          <w:b/>
          <w:bCs/>
          <w:sz w:val="32"/>
          <w:szCs w:val="32"/>
          <w:rtl/>
          <w:lang w:bidi="ar-AE"/>
        </w:rPr>
        <w:t>طريقته في ترتيب المادة اللغوية:</w:t>
      </w:r>
    </w:p>
    <w:p w:rsidR="005D3F37" w:rsidRPr="005D3F37" w:rsidRDefault="005D3F37" w:rsidP="005D3F37">
      <w:pPr>
        <w:bidi/>
        <w:jc w:val="both"/>
        <w:rPr>
          <w:sz w:val="32"/>
          <w:szCs w:val="32"/>
          <w:rtl/>
          <w:lang w:bidi="ar-AE"/>
        </w:rPr>
      </w:pPr>
      <w:r w:rsidRPr="005D3F37">
        <w:rPr>
          <w:sz w:val="32"/>
          <w:szCs w:val="32"/>
          <w:rtl/>
          <w:lang w:bidi="ar-AE"/>
        </w:rPr>
        <w:t xml:space="preserve">اختار ابن منظور ترتيب مادة معجمه على نظام الباب والفصل، وهي الطّريقة ذاتها الّتي اتّبعها الجوهري في معجمه الصّحاح، فرتّب مادة المعجم على أساس ترتيب حروف </w:t>
      </w:r>
      <w:r w:rsidRPr="005D3F37">
        <w:rPr>
          <w:sz w:val="32"/>
          <w:szCs w:val="32"/>
          <w:rtl/>
          <w:lang w:bidi="ar-AE"/>
        </w:rPr>
        <w:lastRenderedPageBreak/>
        <w:t>الهجاء، معتبرا هذا التّرتيب آخر حروف المادة لا أوّلها، فإذا كانت الألف المهموزة تأتي الأولى في ترتيب هذه الحروف فإنّه يبدأ معجمه بباب يجمع فيه كلّ المفردات الّتي تنتهي بألف مهموزة ، ثمّ يقسّم هذا الباب وفقا لعدد حروف الهجاء إلى ثمانية وعشرين فصلا. ولم يغيّر أو يعدّل شيئا عن نظام الجوهري. ولكن الاختلاف الذي بينهما هو في طبيعة المادة الّتي كانت متوافرة لدى ابن منظور.</w:t>
      </w:r>
    </w:p>
    <w:p w:rsidR="005D3F37" w:rsidRPr="005D3F37" w:rsidRDefault="005D3F37" w:rsidP="005D3F37">
      <w:pPr>
        <w:bidi/>
        <w:jc w:val="both"/>
        <w:rPr>
          <w:sz w:val="32"/>
          <w:szCs w:val="32"/>
          <w:rtl/>
          <w:lang w:bidi="ar-AE"/>
        </w:rPr>
      </w:pPr>
      <w:r w:rsidRPr="005D3F37">
        <w:rPr>
          <w:sz w:val="32"/>
          <w:szCs w:val="32"/>
          <w:rtl/>
          <w:lang w:bidi="ar-AE"/>
        </w:rPr>
        <w:t>وهو في بعض الأحيان يعقد فصلا تمهيديا قد يطول وقد يقصر، يتحدّث فيه عن الحرف الذي يعقد له الباب، ففي الباب الأوّل، باب الألف المهموزة يُصدّر بحديث طويل عن الهمز</w:t>
      </w:r>
      <w:r>
        <w:rPr>
          <w:sz w:val="32"/>
          <w:szCs w:val="32"/>
          <w:rtl/>
          <w:lang w:bidi="ar-AE"/>
        </w:rPr>
        <w:t>ة، وممّا ذكره نقلا عن الأزهري:</w:t>
      </w:r>
      <w:r>
        <w:rPr>
          <w:sz w:val="32"/>
          <w:szCs w:val="32"/>
          <w:lang w:bidi="ar-AE"/>
        </w:rPr>
        <w:t xml:space="preserve"> </w:t>
      </w:r>
      <w:r w:rsidRPr="005D3F37">
        <w:rPr>
          <w:b/>
          <w:bCs/>
          <w:sz w:val="32"/>
          <w:szCs w:val="32"/>
          <w:rtl/>
          <w:lang w:bidi="ar-AE"/>
        </w:rPr>
        <w:t>"اعلم أنّ الهمزة  لا هجاء لها، إنّما تكتب مرّة ألفا ومرّة ياء ومرّة واوا؛ والألف اللّينة لا حرف لها، وإنّما هي جزء من مدّةٍ بعد فتحة. والحروف ثمانية وعشرون حرفا وع الواو والألف والياء، وتتمّ بالهمزة تسعة وعشرين حرفا، والهمزة كالحرف الصّحيح، غير أنّ لها حالات من التّليين والحذف والإبدال والتّحقيق..."</w:t>
      </w:r>
      <w:r w:rsidRPr="005D3F37">
        <w:rPr>
          <w:rStyle w:val="Appelnotedebasdep"/>
          <w:b/>
          <w:bCs/>
          <w:sz w:val="32"/>
          <w:szCs w:val="32"/>
          <w:rtl/>
          <w:lang w:bidi="ar-AE"/>
        </w:rPr>
        <w:footnoteReference w:id="9"/>
      </w:r>
      <w:r w:rsidRPr="005D3F37">
        <w:rPr>
          <w:sz w:val="32"/>
          <w:szCs w:val="32"/>
          <w:rtl/>
          <w:lang w:bidi="ar-AE"/>
        </w:rPr>
        <w:t>، وقد أطال التّفصيل في الهمزة وخصائصها وأحوالها.</w:t>
      </w:r>
    </w:p>
    <w:p w:rsidR="005D3F37" w:rsidRPr="005D3F37" w:rsidRDefault="005D3F37" w:rsidP="005D3F37">
      <w:pPr>
        <w:bidi/>
        <w:jc w:val="both"/>
        <w:rPr>
          <w:b/>
          <w:bCs/>
          <w:sz w:val="32"/>
          <w:szCs w:val="32"/>
          <w:rtl/>
          <w:lang w:bidi="ar-AE"/>
        </w:rPr>
      </w:pPr>
      <w:r w:rsidRPr="005D3F37">
        <w:rPr>
          <w:sz w:val="32"/>
          <w:szCs w:val="32"/>
          <w:rtl/>
          <w:lang w:bidi="ar-AE"/>
        </w:rPr>
        <w:t>كما وضع في بداية المعجم فصلين تمهيديين، جاءا بعد المقدّمة، وقد تناول في الأوّل تفسير الحروف المقطعة، التي وردت في أوائل بعض سور القرآن الكريم، و</w:t>
      </w:r>
      <w:r w:rsidRPr="005D3F37">
        <w:rPr>
          <w:b/>
          <w:bCs/>
          <w:sz w:val="32"/>
          <w:szCs w:val="32"/>
          <w:rtl/>
          <w:lang w:bidi="ar-AE"/>
        </w:rPr>
        <w:t>"أمّا الفصل الثاني فقد تناول فيه ألقاب الحروف وطبائعها وخواصها"</w:t>
      </w:r>
      <w:r w:rsidRPr="005D3F37">
        <w:rPr>
          <w:rStyle w:val="Appelnotedebasdep"/>
          <w:b/>
          <w:bCs/>
          <w:sz w:val="32"/>
          <w:szCs w:val="32"/>
          <w:rtl/>
          <w:lang w:bidi="ar-AE"/>
        </w:rPr>
        <w:footnoteReference w:id="10"/>
      </w:r>
      <w:r w:rsidRPr="005D3F37">
        <w:rPr>
          <w:b/>
          <w:bCs/>
          <w:sz w:val="32"/>
          <w:szCs w:val="32"/>
          <w:rtl/>
          <w:lang w:bidi="ar-AE"/>
        </w:rPr>
        <w:t>.</w:t>
      </w:r>
    </w:p>
    <w:p w:rsidR="005D3F37" w:rsidRPr="005D3F37" w:rsidRDefault="005D3F37" w:rsidP="005D3F37">
      <w:pPr>
        <w:bidi/>
        <w:jc w:val="both"/>
        <w:rPr>
          <w:sz w:val="32"/>
          <w:szCs w:val="32"/>
          <w:rtl/>
          <w:lang w:bidi="ar-AE"/>
        </w:rPr>
      </w:pPr>
      <w:r w:rsidRPr="005D3F37">
        <w:rPr>
          <w:sz w:val="32"/>
          <w:szCs w:val="32"/>
          <w:rtl/>
          <w:lang w:bidi="ar-AE"/>
        </w:rPr>
        <w:t>وقد بلغ عدد المواد اللغوية التي ضمّها لسان العرب ثمانين ألف مادة، أي ضعف ما في معجم الصّحاح للجوهري، وأكثر بعشرين ألف مادة من معجم القاموس المحيط للفيروزبادي الذي جاء بعده، وكثرة مواده يرجع إلى أنّه جمع من مصادره الخمسة التي انفرد به كلّ منها من مواد.</w:t>
      </w:r>
    </w:p>
    <w:p w:rsidR="005D3F37" w:rsidRPr="005D3F37" w:rsidRDefault="005D3F37" w:rsidP="005D3F37">
      <w:pPr>
        <w:bidi/>
        <w:jc w:val="both"/>
        <w:rPr>
          <w:sz w:val="32"/>
          <w:szCs w:val="32"/>
          <w:rtl/>
          <w:lang w:bidi="ar-AE"/>
        </w:rPr>
      </w:pPr>
      <w:r w:rsidRPr="005D3F37">
        <w:rPr>
          <w:sz w:val="32"/>
          <w:szCs w:val="32"/>
          <w:rtl/>
          <w:lang w:bidi="ar-AE"/>
        </w:rPr>
        <w:t>ويعتبر لسان العرب موسوعة لما اشتمل عليه من مادة لغوية وأدبية، وبما تضمنه من شواهد من الشّعر والحديث الشّريف، وبما قدّم من شرح مسهب للمادة يعكس كثيرا من مظاهر حياة اللغة العربية وحياة المجتمع العربي، على نحو يجعله مفيدا في المجال المعجمي وف مجالات علمية متنوّعة.</w:t>
      </w:r>
    </w:p>
    <w:p w:rsidR="005D3F37" w:rsidRPr="005D3F37" w:rsidRDefault="005D3F37" w:rsidP="005D3F37">
      <w:pPr>
        <w:bidi/>
        <w:jc w:val="both"/>
        <w:rPr>
          <w:b/>
          <w:bCs/>
          <w:sz w:val="32"/>
          <w:szCs w:val="32"/>
          <w:rtl/>
          <w:lang w:bidi="ar-AE"/>
        </w:rPr>
      </w:pPr>
      <w:r w:rsidRPr="005D3F37">
        <w:rPr>
          <w:b/>
          <w:bCs/>
          <w:sz w:val="32"/>
          <w:szCs w:val="32"/>
          <w:rtl/>
          <w:lang w:bidi="ar-AE"/>
        </w:rPr>
        <w:t>نموذج من لسان العرب: حرف الباء</w:t>
      </w:r>
    </w:p>
    <w:p w:rsidR="005D3F37" w:rsidRDefault="005D3F37" w:rsidP="005D3F37">
      <w:pPr>
        <w:bidi/>
        <w:jc w:val="both"/>
        <w:rPr>
          <w:sz w:val="32"/>
          <w:szCs w:val="32"/>
          <w:lang w:bidi="ar-AE"/>
        </w:rPr>
      </w:pPr>
      <w:r w:rsidRPr="005D3F37">
        <w:rPr>
          <w:sz w:val="32"/>
          <w:szCs w:val="32"/>
          <w:rtl/>
          <w:lang w:bidi="ar-AE"/>
        </w:rPr>
        <w:t>حرف الباء الموحّدة:</w:t>
      </w:r>
      <w:r>
        <w:rPr>
          <w:sz w:val="32"/>
          <w:szCs w:val="32"/>
          <w:lang w:bidi="ar-AE"/>
        </w:rPr>
        <w:t xml:space="preserve"> </w:t>
      </w:r>
      <w:r w:rsidRPr="005D3F37">
        <w:rPr>
          <w:b/>
          <w:bCs/>
          <w:sz w:val="32"/>
          <w:szCs w:val="32"/>
          <w:rtl/>
          <w:lang w:bidi="ar-AE"/>
        </w:rPr>
        <w:t xml:space="preserve">"الباء من الحروف المجهورة ومن الحروف الشّفوية، وسمّيت شفوية لأنّ مخرجها من بين الشّفتين، لا تعمل الشّفتان في شيء من الحروف إلّا فيها وفي الفاء والميم، قال الخليل بن أحمد: الحروف الذّلقُ والشّفوية ستّة: الرّاء والّلام </w:t>
      </w:r>
      <w:r w:rsidRPr="005D3F37">
        <w:rPr>
          <w:b/>
          <w:bCs/>
          <w:sz w:val="32"/>
          <w:szCs w:val="32"/>
          <w:rtl/>
          <w:lang w:bidi="ar-AE"/>
        </w:rPr>
        <w:lastRenderedPageBreak/>
        <w:t>والنون والفاء والباء والميم، يجمعها قولك: رُبَّ من لفَّ، وسُمّيت الحروف الذلق ذُلقا لأنّ الذَلاقة في المنطق إنّما هي بطرف أسلّة اللسان. وذلقُ اللّسان كذَلَقِ السّنان"</w:t>
      </w:r>
      <w:r w:rsidRPr="005D3F37">
        <w:rPr>
          <w:rStyle w:val="Appelnotedebasdep"/>
          <w:b/>
          <w:bCs/>
          <w:sz w:val="32"/>
          <w:szCs w:val="32"/>
          <w:rtl/>
          <w:lang w:bidi="ar-AE"/>
        </w:rPr>
        <w:footnoteReference w:id="11"/>
      </w:r>
      <w:r w:rsidRPr="005D3F37">
        <w:rPr>
          <w:b/>
          <w:bCs/>
          <w:sz w:val="32"/>
          <w:szCs w:val="32"/>
          <w:rtl/>
          <w:lang w:bidi="ar-AE"/>
        </w:rPr>
        <w:t>.</w:t>
      </w:r>
    </w:p>
    <w:p w:rsidR="005D3F37" w:rsidRPr="005D3F37" w:rsidRDefault="005D3F37" w:rsidP="005D3F37">
      <w:pPr>
        <w:bidi/>
        <w:jc w:val="both"/>
        <w:rPr>
          <w:sz w:val="32"/>
          <w:szCs w:val="32"/>
          <w:rtl/>
          <w:lang w:bidi="ar-AE"/>
        </w:rPr>
      </w:pPr>
    </w:p>
    <w:p w:rsidR="005D3F37" w:rsidRPr="005D3F37" w:rsidRDefault="005D3F37" w:rsidP="005D3F37">
      <w:pPr>
        <w:bidi/>
        <w:jc w:val="both"/>
        <w:rPr>
          <w:b/>
          <w:bCs/>
          <w:sz w:val="32"/>
          <w:szCs w:val="32"/>
          <w:rtl/>
          <w:lang w:bidi="ar-AE"/>
        </w:rPr>
      </w:pPr>
      <w:r w:rsidRPr="005D3F37">
        <w:rPr>
          <w:b/>
          <w:bCs/>
          <w:sz w:val="32"/>
          <w:szCs w:val="32"/>
          <w:rtl/>
          <w:lang w:bidi="ar-AE"/>
        </w:rPr>
        <w:t>طريقة البحث عن الكلمات في لسان العرب:</w:t>
      </w:r>
    </w:p>
    <w:p w:rsidR="005D3F37" w:rsidRPr="005D3F37" w:rsidRDefault="005D3F37" w:rsidP="005D3F37">
      <w:pPr>
        <w:bidi/>
        <w:jc w:val="both"/>
        <w:rPr>
          <w:sz w:val="32"/>
          <w:szCs w:val="32"/>
          <w:rtl/>
          <w:lang w:bidi="ar-AE"/>
        </w:rPr>
      </w:pPr>
      <w:r w:rsidRPr="005D3F37">
        <w:rPr>
          <w:sz w:val="32"/>
          <w:szCs w:val="32"/>
          <w:rtl/>
          <w:lang w:bidi="ar-AE"/>
        </w:rPr>
        <w:t>لسان العرب من معاجم "مدرسة التقفية" أي البحث في باب الحرف الأخير من الكلمة (الجذر)ثم الحرف الأوّل منها (الفصل)وفق الترتيب الألفبائي للحروف:</w:t>
      </w:r>
    </w:p>
    <w:p w:rsidR="005D3F37" w:rsidRPr="0020529D" w:rsidRDefault="005D3F37" w:rsidP="005D3F37">
      <w:pPr>
        <w:bidi/>
        <w:jc w:val="both"/>
        <w:rPr>
          <w:b/>
          <w:bCs/>
          <w:sz w:val="32"/>
          <w:szCs w:val="32"/>
          <w:rtl/>
          <w:lang w:bidi="ar-AE"/>
        </w:rPr>
      </w:pPr>
      <w:r w:rsidRPr="0020529D">
        <w:rPr>
          <w:b/>
          <w:bCs/>
          <w:sz w:val="32"/>
          <w:szCs w:val="32"/>
          <w:rtl/>
          <w:lang w:bidi="ar-AE"/>
        </w:rPr>
        <w:t>أ ب ت ث ج ح خ د ذ ر ز س ش ص ط ظ ع غ ف ق ك ل م ن ه و ي</w:t>
      </w:r>
    </w:p>
    <w:p w:rsidR="005D3F37" w:rsidRPr="0020529D" w:rsidRDefault="005D3F37" w:rsidP="005D3F37">
      <w:pPr>
        <w:bidi/>
        <w:jc w:val="both"/>
        <w:rPr>
          <w:b/>
          <w:bCs/>
          <w:sz w:val="32"/>
          <w:szCs w:val="32"/>
          <w:rtl/>
          <w:lang w:bidi="ar-AE"/>
        </w:rPr>
      </w:pPr>
      <w:r w:rsidRPr="0020529D">
        <w:rPr>
          <w:b/>
          <w:bCs/>
          <w:sz w:val="32"/>
          <w:szCs w:val="32"/>
          <w:rtl/>
          <w:lang w:bidi="ar-AE"/>
        </w:rPr>
        <w:t>فللبحث عن الكلمة نتّبع الخطوات التّالية:</w:t>
      </w:r>
    </w:p>
    <w:p w:rsidR="005D3F37" w:rsidRPr="005D3F37" w:rsidRDefault="005D3F37" w:rsidP="005D3F37">
      <w:pPr>
        <w:pStyle w:val="Paragraphedeliste"/>
        <w:numPr>
          <w:ilvl w:val="0"/>
          <w:numId w:val="1"/>
        </w:numPr>
        <w:bidi/>
        <w:jc w:val="both"/>
        <w:rPr>
          <w:sz w:val="32"/>
          <w:szCs w:val="32"/>
          <w:rtl/>
          <w:lang w:bidi="ar-AE"/>
        </w:rPr>
      </w:pPr>
      <w:r w:rsidRPr="005D3F37">
        <w:rPr>
          <w:sz w:val="32"/>
          <w:szCs w:val="32"/>
          <w:rtl/>
          <w:lang w:bidi="ar-AE"/>
        </w:rPr>
        <w:t>تجريد الكلمة من الزّوائد وإرجاعها إلى الفعل الماضي المجرّد الثّلاثي والرّباعي: استغفار(غفر)، معارف(عرف).</w:t>
      </w:r>
    </w:p>
    <w:p w:rsidR="005D3F37" w:rsidRPr="005D3F37" w:rsidRDefault="005D3F37" w:rsidP="005D3F37">
      <w:pPr>
        <w:pStyle w:val="Paragraphedeliste"/>
        <w:numPr>
          <w:ilvl w:val="0"/>
          <w:numId w:val="1"/>
        </w:numPr>
        <w:bidi/>
        <w:jc w:val="both"/>
        <w:rPr>
          <w:sz w:val="32"/>
          <w:szCs w:val="32"/>
          <w:lang w:bidi="ar-AE"/>
        </w:rPr>
      </w:pPr>
      <w:r w:rsidRPr="005D3F37">
        <w:rPr>
          <w:sz w:val="32"/>
          <w:szCs w:val="32"/>
          <w:rtl/>
          <w:lang w:bidi="ar-AE"/>
        </w:rPr>
        <w:t>فكّ التّضعيف: ردّ (ردد)، حجّ(حجج).</w:t>
      </w:r>
    </w:p>
    <w:p w:rsidR="005D3F37" w:rsidRPr="005D3F37" w:rsidRDefault="005D3F37" w:rsidP="005D3F37">
      <w:pPr>
        <w:pStyle w:val="Paragraphedeliste"/>
        <w:numPr>
          <w:ilvl w:val="0"/>
          <w:numId w:val="1"/>
        </w:numPr>
        <w:bidi/>
        <w:jc w:val="both"/>
        <w:rPr>
          <w:sz w:val="32"/>
          <w:szCs w:val="32"/>
          <w:lang w:bidi="ar-AE"/>
        </w:rPr>
      </w:pPr>
      <w:r w:rsidRPr="005D3F37">
        <w:rPr>
          <w:sz w:val="32"/>
          <w:szCs w:val="32"/>
          <w:rtl/>
          <w:lang w:bidi="ar-AE"/>
        </w:rPr>
        <w:t>إعادة حرف العلّة إلى أصله: قال(قول)، سعى(سعي)</w:t>
      </w:r>
    </w:p>
    <w:p w:rsidR="005D3F37" w:rsidRPr="005D3F37" w:rsidRDefault="005D3F37" w:rsidP="005D3F37">
      <w:pPr>
        <w:pStyle w:val="Paragraphedeliste"/>
        <w:numPr>
          <w:ilvl w:val="0"/>
          <w:numId w:val="1"/>
        </w:numPr>
        <w:bidi/>
        <w:jc w:val="both"/>
        <w:rPr>
          <w:sz w:val="32"/>
          <w:szCs w:val="32"/>
          <w:lang w:bidi="ar-AE"/>
        </w:rPr>
      </w:pPr>
      <w:r w:rsidRPr="005D3F37">
        <w:rPr>
          <w:sz w:val="32"/>
          <w:szCs w:val="32"/>
          <w:rtl/>
          <w:lang w:bidi="ar-AE"/>
        </w:rPr>
        <w:t>تحديد الباب والفصل: فالباب هو الحرف الأخير من الكلمة المجرّدة، والفصل هو الحرف الأوّل من الكلمة المجرّدة، والتّرتيب داخل الفصل يكون بناء على الحرف الثاني ثمّ الثالث.</w:t>
      </w:r>
    </w:p>
    <w:p w:rsidR="005D3F37" w:rsidRPr="0020529D" w:rsidRDefault="005D3F37" w:rsidP="005D3F37">
      <w:pPr>
        <w:bidi/>
        <w:ind w:left="360"/>
        <w:jc w:val="both"/>
        <w:rPr>
          <w:b/>
          <w:bCs/>
          <w:sz w:val="32"/>
          <w:szCs w:val="32"/>
          <w:lang w:bidi="ar-AE"/>
        </w:rPr>
      </w:pPr>
      <w:r w:rsidRPr="0020529D">
        <w:rPr>
          <w:b/>
          <w:bCs/>
          <w:sz w:val="32"/>
          <w:szCs w:val="32"/>
          <w:rtl/>
          <w:lang w:bidi="ar-AE"/>
        </w:rPr>
        <w:t>مثال:</w:t>
      </w:r>
    </w:p>
    <w:p w:rsidR="005D3F37" w:rsidRPr="005D3F37" w:rsidRDefault="005D3F37" w:rsidP="005D3F37">
      <w:pPr>
        <w:bidi/>
        <w:ind w:left="360"/>
        <w:jc w:val="both"/>
        <w:rPr>
          <w:sz w:val="32"/>
          <w:szCs w:val="32"/>
          <w:rtl/>
          <w:lang w:bidi="ar-AE"/>
        </w:rPr>
      </w:pPr>
      <w:r w:rsidRPr="005D3F37">
        <w:rPr>
          <w:sz w:val="32"/>
          <w:szCs w:val="32"/>
          <w:rtl/>
          <w:lang w:bidi="ar-AE"/>
        </w:rPr>
        <w:t>كتب: باب الباب فصل الكاف، ثم ترتيب التاء.</w:t>
      </w:r>
    </w:p>
    <w:p w:rsidR="005D3F37" w:rsidRPr="005D3F37" w:rsidRDefault="005D3F37" w:rsidP="005D3F37">
      <w:pPr>
        <w:bidi/>
        <w:ind w:left="360"/>
        <w:jc w:val="both"/>
        <w:rPr>
          <w:sz w:val="32"/>
          <w:szCs w:val="32"/>
          <w:rtl/>
          <w:lang w:bidi="ar-AE"/>
        </w:rPr>
      </w:pPr>
      <w:r w:rsidRPr="005D3F37">
        <w:rPr>
          <w:sz w:val="32"/>
          <w:szCs w:val="32"/>
          <w:rtl/>
          <w:lang w:bidi="ar-AE"/>
        </w:rPr>
        <w:t>مدارس:درس: باب السين فصل الدال ثمّ الراء</w:t>
      </w:r>
    </w:p>
    <w:p w:rsidR="005D3F37" w:rsidRPr="005D3F37" w:rsidRDefault="005D3F37" w:rsidP="005D3F37">
      <w:pPr>
        <w:bidi/>
        <w:ind w:left="360"/>
        <w:jc w:val="both"/>
        <w:rPr>
          <w:sz w:val="32"/>
          <w:szCs w:val="32"/>
          <w:rtl/>
          <w:lang w:bidi="ar-AE"/>
        </w:rPr>
      </w:pPr>
      <w:r w:rsidRPr="005D3F37">
        <w:rPr>
          <w:sz w:val="32"/>
          <w:szCs w:val="32"/>
          <w:rtl/>
          <w:lang w:bidi="ar-AE"/>
        </w:rPr>
        <w:t>يستوفون: وفِيَ:باب الياء فصل الواو ثم الفاء</w:t>
      </w:r>
    </w:p>
    <w:p w:rsidR="005D3F37" w:rsidRPr="005D3F37" w:rsidRDefault="005D3F37" w:rsidP="005D3F37">
      <w:pPr>
        <w:bidi/>
        <w:ind w:left="360"/>
        <w:jc w:val="both"/>
        <w:rPr>
          <w:sz w:val="32"/>
          <w:szCs w:val="32"/>
          <w:rtl/>
          <w:lang w:bidi="ar-AE"/>
        </w:rPr>
      </w:pPr>
      <w:r w:rsidRPr="005D3F37">
        <w:rPr>
          <w:sz w:val="32"/>
          <w:szCs w:val="32"/>
          <w:rtl/>
          <w:lang w:bidi="ar-AE"/>
        </w:rPr>
        <w:t>استغلال: غلَّ:غلل: باب اللام فصل الغين</w:t>
      </w:r>
    </w:p>
    <w:p w:rsidR="005D3F37" w:rsidRPr="005D3F37" w:rsidRDefault="005D3F37" w:rsidP="005D3F37">
      <w:pPr>
        <w:bidi/>
        <w:ind w:left="360"/>
        <w:jc w:val="both"/>
        <w:rPr>
          <w:sz w:val="32"/>
          <w:szCs w:val="32"/>
          <w:rtl/>
          <w:lang w:bidi="ar-AE"/>
        </w:rPr>
      </w:pPr>
      <w:r w:rsidRPr="005D3F37">
        <w:rPr>
          <w:sz w:val="32"/>
          <w:szCs w:val="32"/>
          <w:rtl/>
          <w:lang w:bidi="ar-AE"/>
        </w:rPr>
        <w:t>عطاء: عطِيَ: باب الياء فصل العين</w:t>
      </w:r>
    </w:p>
    <w:p w:rsidR="005D3F37" w:rsidRPr="005D3F37" w:rsidRDefault="005D3F37" w:rsidP="005D3F37">
      <w:pPr>
        <w:bidi/>
        <w:ind w:left="360"/>
        <w:jc w:val="both"/>
        <w:rPr>
          <w:sz w:val="32"/>
          <w:szCs w:val="32"/>
          <w:rtl/>
          <w:lang w:bidi="ar-AE"/>
        </w:rPr>
      </w:pPr>
      <w:r w:rsidRPr="005D3F37">
        <w:rPr>
          <w:sz w:val="32"/>
          <w:szCs w:val="32"/>
          <w:rtl/>
          <w:lang w:bidi="ar-AE"/>
        </w:rPr>
        <w:t>شهداء: شهد: باب الدال فصل الشين.</w:t>
      </w:r>
    </w:p>
    <w:p w:rsidR="00826803" w:rsidRPr="005D3F37" w:rsidRDefault="00826803" w:rsidP="005D3F37">
      <w:pPr>
        <w:bidi/>
        <w:rPr>
          <w:lang w:bidi="ar-AE"/>
        </w:rPr>
      </w:pPr>
    </w:p>
    <w:sectPr w:rsidR="00826803" w:rsidRPr="005D3F37" w:rsidSect="0082680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848" w:rsidRDefault="00D36848" w:rsidP="005D3F37">
      <w:pPr>
        <w:spacing w:after="0" w:line="240" w:lineRule="auto"/>
      </w:pPr>
      <w:r>
        <w:separator/>
      </w:r>
    </w:p>
  </w:endnote>
  <w:endnote w:type="continuationSeparator" w:id="1">
    <w:p w:rsidR="00D36848" w:rsidRDefault="00D36848" w:rsidP="005D3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444"/>
      <w:docPartObj>
        <w:docPartGallery w:val="Page Numbers (Bottom of Page)"/>
        <w:docPartUnique/>
      </w:docPartObj>
    </w:sdtPr>
    <w:sdtContent>
      <w:p w:rsidR="0020529D" w:rsidRDefault="0020529D">
        <w:pPr>
          <w:pStyle w:val="Pieddepage"/>
          <w:jc w:val="center"/>
        </w:pPr>
        <w:fldSimple w:instr=" PAGE   \* MERGEFORMAT ">
          <w:r>
            <w:rPr>
              <w:noProof/>
            </w:rPr>
            <w:t>3</w:t>
          </w:r>
        </w:fldSimple>
      </w:p>
    </w:sdtContent>
  </w:sdt>
  <w:p w:rsidR="0020529D" w:rsidRDefault="002052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848" w:rsidRDefault="00D36848" w:rsidP="005D3F37">
      <w:pPr>
        <w:spacing w:after="0" w:line="240" w:lineRule="auto"/>
      </w:pPr>
      <w:r>
        <w:separator/>
      </w:r>
    </w:p>
  </w:footnote>
  <w:footnote w:type="continuationSeparator" w:id="1">
    <w:p w:rsidR="00D36848" w:rsidRDefault="00D36848" w:rsidP="005D3F37">
      <w:pPr>
        <w:spacing w:after="0" w:line="240" w:lineRule="auto"/>
      </w:pPr>
      <w:r>
        <w:continuationSeparator/>
      </w:r>
    </w:p>
  </w:footnote>
  <w:footnote w:id="2">
    <w:p w:rsidR="005D3F37" w:rsidRDefault="005D3F37" w:rsidP="005D3F37">
      <w:pPr>
        <w:pStyle w:val="Notedebasdepage"/>
        <w:bidi/>
        <w:rPr>
          <w:rtl/>
          <w:lang w:bidi="ar-AE"/>
        </w:rPr>
      </w:pPr>
      <w:r>
        <w:rPr>
          <w:rStyle w:val="Appelnotedebasdep"/>
        </w:rPr>
        <w:footnoteRef/>
      </w:r>
      <w:r>
        <w:t xml:space="preserve"> </w:t>
      </w:r>
      <w:r>
        <w:rPr>
          <w:rtl/>
        </w:rPr>
        <w:t xml:space="preserve"> ابن منظور، تح: عامر أحمد حيدر، المجلّد الأوّل، (أ،ب)، دار الكتب العلمية، بيروت، لبنان، ط1، 2002، ص أ.</w:t>
      </w:r>
    </w:p>
  </w:footnote>
  <w:footnote w:id="3">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 ن.</w:t>
      </w:r>
    </w:p>
  </w:footnote>
  <w:footnote w:id="4">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 ب.</w:t>
      </w:r>
    </w:p>
  </w:footnote>
  <w:footnote w:id="5">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ص6.</w:t>
      </w:r>
    </w:p>
  </w:footnote>
  <w:footnote w:id="6">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ص7.</w:t>
      </w:r>
    </w:p>
  </w:footnote>
  <w:footnote w:id="7">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 ط.</w:t>
      </w:r>
    </w:p>
  </w:footnote>
  <w:footnote w:id="8">
    <w:p w:rsidR="005D3F37" w:rsidRDefault="005D3F37" w:rsidP="005D3F37">
      <w:pPr>
        <w:pStyle w:val="Notedebasdepage"/>
        <w:bidi/>
        <w:rPr>
          <w:rtl/>
          <w:lang w:bidi="ar-AE"/>
        </w:rPr>
      </w:pPr>
      <w:r>
        <w:rPr>
          <w:rStyle w:val="Appelnotedebasdep"/>
        </w:rPr>
        <w:footnoteRef/>
      </w:r>
      <w:r>
        <w:t xml:space="preserve"> </w:t>
      </w:r>
      <w:r>
        <w:rPr>
          <w:rtl/>
        </w:rPr>
        <w:t xml:space="preserve"> المرجع نفسه، ص8-9.</w:t>
      </w:r>
    </w:p>
  </w:footnote>
  <w:footnote w:id="9">
    <w:p w:rsidR="005D3F37" w:rsidRDefault="005D3F37" w:rsidP="005D3F37">
      <w:pPr>
        <w:pStyle w:val="Notedebasdepage"/>
        <w:bidi/>
        <w:rPr>
          <w:rtl/>
          <w:lang w:bidi="ar-AE"/>
        </w:rPr>
      </w:pPr>
      <w:r>
        <w:rPr>
          <w:rStyle w:val="Appelnotedebasdep"/>
        </w:rPr>
        <w:footnoteRef/>
      </w:r>
      <w:r>
        <w:t xml:space="preserve"> </w:t>
      </w:r>
      <w:r>
        <w:rPr>
          <w:rtl/>
        </w:rPr>
        <w:t xml:space="preserve"> المصدر نفسه، ص19.</w:t>
      </w:r>
    </w:p>
  </w:footnote>
  <w:footnote w:id="10">
    <w:p w:rsidR="005D3F37" w:rsidRDefault="005D3F37" w:rsidP="005D3F37">
      <w:pPr>
        <w:pStyle w:val="Notedebasdepage"/>
        <w:bidi/>
        <w:rPr>
          <w:rtl/>
          <w:lang w:bidi="ar-AE"/>
        </w:rPr>
      </w:pPr>
      <w:r>
        <w:rPr>
          <w:rStyle w:val="Appelnotedebasdep"/>
        </w:rPr>
        <w:footnoteRef/>
      </w:r>
      <w:r>
        <w:t xml:space="preserve"> </w:t>
      </w:r>
      <w:r>
        <w:rPr>
          <w:rtl/>
        </w:rPr>
        <w:t xml:space="preserve"> عز الدين إسماعيل، المصادر الأدبية واللغوية في التّراث العربي، دار المسيرة، ط1، 2003، ص293.</w:t>
      </w:r>
    </w:p>
  </w:footnote>
  <w:footnote w:id="11">
    <w:p w:rsidR="005D3F37" w:rsidRDefault="005D3F37" w:rsidP="005D3F37">
      <w:pPr>
        <w:pStyle w:val="Notedebasdepage"/>
        <w:bidi/>
        <w:rPr>
          <w:rtl/>
          <w:lang w:bidi="ar-AE"/>
        </w:rPr>
      </w:pPr>
      <w:r>
        <w:rPr>
          <w:rStyle w:val="Appelnotedebasdep"/>
        </w:rPr>
        <w:footnoteRef/>
      </w:r>
      <w:r>
        <w:t xml:space="preserve"> </w:t>
      </w:r>
      <w:r>
        <w:rPr>
          <w:rtl/>
        </w:rPr>
        <w:t xml:space="preserve"> ابن منظور، ص243.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C59D8"/>
    <w:multiLevelType w:val="hybridMultilevel"/>
    <w:tmpl w:val="1A0A5DDA"/>
    <w:lvl w:ilvl="0" w:tplc="C400B3E6">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3F37"/>
    <w:rsid w:val="0020529D"/>
    <w:rsid w:val="005D3F37"/>
    <w:rsid w:val="00826803"/>
    <w:rsid w:val="00D368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D3F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3F37"/>
    <w:rPr>
      <w:sz w:val="20"/>
      <w:szCs w:val="20"/>
    </w:rPr>
  </w:style>
  <w:style w:type="paragraph" w:styleId="Paragraphedeliste">
    <w:name w:val="List Paragraph"/>
    <w:basedOn w:val="Normal"/>
    <w:uiPriority w:val="34"/>
    <w:qFormat/>
    <w:rsid w:val="005D3F37"/>
    <w:pPr>
      <w:ind w:left="720"/>
      <w:contextualSpacing/>
    </w:pPr>
  </w:style>
  <w:style w:type="character" w:styleId="Appelnotedebasdep">
    <w:name w:val="footnote reference"/>
    <w:basedOn w:val="Policepardfaut"/>
    <w:uiPriority w:val="99"/>
    <w:semiHidden/>
    <w:unhideWhenUsed/>
    <w:rsid w:val="005D3F37"/>
    <w:rPr>
      <w:vertAlign w:val="superscript"/>
    </w:rPr>
  </w:style>
  <w:style w:type="paragraph" w:styleId="En-tte">
    <w:name w:val="header"/>
    <w:basedOn w:val="Normal"/>
    <w:link w:val="En-tteCar"/>
    <w:uiPriority w:val="99"/>
    <w:semiHidden/>
    <w:unhideWhenUsed/>
    <w:rsid w:val="002052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529D"/>
  </w:style>
  <w:style w:type="paragraph" w:styleId="Pieddepage">
    <w:name w:val="footer"/>
    <w:basedOn w:val="Normal"/>
    <w:link w:val="PieddepageCar"/>
    <w:uiPriority w:val="99"/>
    <w:unhideWhenUsed/>
    <w:rsid w:val="002052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529D"/>
  </w:style>
</w:styles>
</file>

<file path=word/webSettings.xml><?xml version="1.0" encoding="utf-8"?>
<w:webSettings xmlns:r="http://schemas.openxmlformats.org/officeDocument/2006/relationships" xmlns:w="http://schemas.openxmlformats.org/wordprocessingml/2006/main">
  <w:divs>
    <w:div w:id="10483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AC70-DA57-472A-BAA3-A813BDCF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1045</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ECS</cp:lastModifiedBy>
  <cp:revision>2</cp:revision>
  <dcterms:created xsi:type="dcterms:W3CDTF">2026-03-14T22:46:00Z</dcterms:created>
  <dcterms:modified xsi:type="dcterms:W3CDTF">2026-03-14T23:01:00Z</dcterms:modified>
</cp:coreProperties>
</file>