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31B" w:rsidRDefault="0020731B" w:rsidP="00A46016">
      <w:pPr>
        <w:bidi/>
        <w:ind w:left="360"/>
        <w:jc w:val="both"/>
        <w:rPr>
          <w:b/>
          <w:bCs/>
          <w:sz w:val="32"/>
          <w:szCs w:val="32"/>
          <w:lang w:bidi="ar-AE"/>
        </w:rPr>
      </w:pPr>
      <w:r>
        <w:rPr>
          <w:b/>
          <w:bCs/>
          <w:sz w:val="32"/>
          <w:szCs w:val="32"/>
          <w:rtl/>
          <w:lang w:bidi="ar-AE"/>
        </w:rPr>
        <w:t>المحاضرة ال</w:t>
      </w:r>
      <w:r w:rsidR="00A46016">
        <w:rPr>
          <w:rFonts w:hint="cs"/>
          <w:b/>
          <w:bCs/>
          <w:sz w:val="32"/>
          <w:szCs w:val="32"/>
          <w:rtl/>
          <w:lang w:bidi="ar-AE"/>
        </w:rPr>
        <w:t>سابعة</w:t>
      </w:r>
      <w:r>
        <w:rPr>
          <w:b/>
          <w:bCs/>
          <w:sz w:val="32"/>
          <w:szCs w:val="32"/>
          <w:rtl/>
          <w:lang w:bidi="ar-AE"/>
        </w:rPr>
        <w:t>: مقاييس اللغة لابن فارس</w:t>
      </w:r>
    </w:p>
    <w:p w:rsidR="0020731B" w:rsidRDefault="0020731B" w:rsidP="0020731B">
      <w:pPr>
        <w:bidi/>
        <w:ind w:left="360"/>
        <w:jc w:val="both"/>
        <w:rPr>
          <w:sz w:val="32"/>
          <w:szCs w:val="32"/>
          <w:rtl/>
          <w:lang w:bidi="ar-AE"/>
        </w:rPr>
      </w:pPr>
      <w:r>
        <w:rPr>
          <w:b/>
          <w:bCs/>
          <w:sz w:val="32"/>
          <w:szCs w:val="32"/>
          <w:rtl/>
          <w:lang w:bidi="ar-AE"/>
        </w:rPr>
        <w:t xml:space="preserve">1-المؤلف: </w:t>
      </w:r>
      <w:r>
        <w:rPr>
          <w:sz w:val="32"/>
          <w:szCs w:val="32"/>
          <w:rtl/>
          <w:lang w:bidi="ar-AE"/>
        </w:rPr>
        <w:t>هو أبو الحسن أحمد بن فارس بن زكرياء بن محمد بن حبيب الرازي اللغوي، و"لم تُعيّن كتب التراجم تاريخا لولادة أبي الحسين أحمد بن فارس بن زكريا بن حبيب الرازي، على حين تجد الرواة يحتفلون في نسبه وموطنه"</w:t>
      </w:r>
      <w:r>
        <w:rPr>
          <w:rStyle w:val="Appelnotedebasdep"/>
          <w:sz w:val="32"/>
          <w:szCs w:val="32"/>
          <w:rtl/>
          <w:lang w:bidi="ar-AE"/>
        </w:rPr>
        <w:footnoteReference w:id="2"/>
      </w:r>
      <w:r>
        <w:rPr>
          <w:sz w:val="32"/>
          <w:szCs w:val="32"/>
          <w:rtl/>
          <w:lang w:bidi="ar-AE"/>
        </w:rPr>
        <w:t>، وقد اختلُف في تاريخ وفاته، والأرجح أنّه توفي في سنة 395ه، وقد عاش في القرن الرابع الهجري؛ قرن النهضة المعجمية الشاملة.</w:t>
      </w:r>
    </w:p>
    <w:p w:rsidR="0020731B" w:rsidRDefault="0020731B" w:rsidP="0020731B">
      <w:pPr>
        <w:bidi/>
        <w:ind w:left="360"/>
        <w:jc w:val="both"/>
        <w:rPr>
          <w:b/>
          <w:bCs/>
          <w:sz w:val="32"/>
          <w:szCs w:val="32"/>
          <w:rtl/>
          <w:lang w:bidi="ar-AE"/>
        </w:rPr>
      </w:pPr>
      <w:r>
        <w:rPr>
          <w:b/>
          <w:bCs/>
          <w:sz w:val="32"/>
          <w:szCs w:val="32"/>
          <w:rtl/>
          <w:lang w:bidi="ar-AE"/>
        </w:rPr>
        <w:t>2-شيوخه وأساتذته:</w:t>
      </w:r>
    </w:p>
    <w:p w:rsidR="0020731B" w:rsidRDefault="0020731B" w:rsidP="0020731B">
      <w:pPr>
        <w:bidi/>
        <w:ind w:left="360"/>
        <w:jc w:val="both"/>
        <w:rPr>
          <w:sz w:val="32"/>
          <w:szCs w:val="32"/>
          <w:rtl/>
          <w:lang w:bidi="ar-AE"/>
        </w:rPr>
      </w:pPr>
      <w:r>
        <w:rPr>
          <w:sz w:val="32"/>
          <w:szCs w:val="32"/>
          <w:rtl/>
          <w:lang w:bidi="ar-AE"/>
        </w:rPr>
        <w:t>كان والده فقيها شافعيا لغويا، ورجلا أديبا راوية للشعر، ولهذا فقد كان أستاذه الأوّل ومن شيوخه كذلك أبو الحسن علي بن إبراهيم بن سلمة القطان، وأبو الحسن علي بن عبد العزيز، وأبو بكر محمد بن أحمد الأصفهاني، وأبو عبد الله أحمد بن طاهر المنجم. أمّا تلاميذه فكثيرون "وكان من أشهرهم بديع الزمان الهمذاني، وأبو طالب بن فخر الدّولة البويهي، والصّاحب إسماعيل بن عبّاد"</w:t>
      </w:r>
      <w:r>
        <w:rPr>
          <w:rStyle w:val="Appelnotedebasdep"/>
          <w:sz w:val="32"/>
          <w:szCs w:val="32"/>
          <w:rtl/>
          <w:lang w:bidi="ar-AE"/>
        </w:rPr>
        <w:footnoteReference w:id="3"/>
      </w:r>
      <w:r>
        <w:rPr>
          <w:sz w:val="32"/>
          <w:szCs w:val="32"/>
          <w:rtl/>
          <w:lang w:bidi="ar-AE"/>
        </w:rPr>
        <w:t>.</w:t>
      </w:r>
    </w:p>
    <w:p w:rsidR="0020731B" w:rsidRDefault="0020731B" w:rsidP="0020731B">
      <w:pPr>
        <w:bidi/>
        <w:ind w:left="360"/>
        <w:jc w:val="both"/>
        <w:rPr>
          <w:sz w:val="32"/>
          <w:szCs w:val="32"/>
          <w:rtl/>
          <w:lang w:bidi="ar-AE"/>
        </w:rPr>
      </w:pPr>
      <w:r>
        <w:rPr>
          <w:sz w:val="32"/>
          <w:szCs w:val="32"/>
          <w:rtl/>
          <w:lang w:bidi="ar-AE"/>
        </w:rPr>
        <w:t>ولم يكن ابن فارس من العلماء الذين ينزوون على أنفسهم ويكتفون بمجالس العلم والتعليم، بل كان متّصلا بالحياة أكمل اتصال، و"يلمّ بالحياة الأدبية في عصره، ولا يتزمّت كما يتزمّت كثير من اللغويين الذين ينصرفون عن إنتاج معاصريهم ولا يقيمون له وزنا، فهو يصغي إلى نشيدهم ويروي لكثير منهم، وينتصر للمحسن وينتصف له من المتعصبين الجامدين، الذين يزيّفون شعر المحدثين ويستسقطونه"</w:t>
      </w:r>
      <w:r>
        <w:rPr>
          <w:rStyle w:val="Appelnotedebasdep"/>
          <w:sz w:val="32"/>
          <w:szCs w:val="32"/>
          <w:rtl/>
          <w:lang w:bidi="ar-AE"/>
        </w:rPr>
        <w:footnoteReference w:id="4"/>
      </w:r>
      <w:r>
        <w:rPr>
          <w:sz w:val="32"/>
          <w:szCs w:val="32"/>
          <w:rtl/>
          <w:lang w:bidi="ar-AE"/>
        </w:rPr>
        <w:t>.</w:t>
      </w:r>
    </w:p>
    <w:p w:rsidR="0020731B" w:rsidRDefault="0020731B" w:rsidP="0020731B">
      <w:pPr>
        <w:bidi/>
        <w:ind w:left="360"/>
        <w:jc w:val="both"/>
        <w:rPr>
          <w:sz w:val="32"/>
          <w:szCs w:val="32"/>
          <w:rtl/>
          <w:lang w:bidi="ar-AE"/>
        </w:rPr>
      </w:pPr>
      <w:r>
        <w:rPr>
          <w:sz w:val="32"/>
          <w:szCs w:val="32"/>
          <w:rtl/>
          <w:lang w:bidi="ar-AE"/>
        </w:rPr>
        <w:t xml:space="preserve">وقد عرف بلغته الواسعة، وقد بلغ من حبّه للغة وعشقه لها، أن ألّف فيها ضروبا من التّأليف، وكان يستحثّ عزيمة معاصريه من الفقهاء أن ينهضوا بتعرّف اللغة والتبحّر فيها، وهو في كتابه </w:t>
      </w:r>
      <w:r>
        <w:rPr>
          <w:b/>
          <w:bCs/>
          <w:sz w:val="32"/>
          <w:szCs w:val="32"/>
          <w:rtl/>
          <w:lang w:bidi="ar-AE"/>
        </w:rPr>
        <w:t>"مقاييس اللغة"</w:t>
      </w:r>
      <w:r>
        <w:rPr>
          <w:sz w:val="32"/>
          <w:szCs w:val="32"/>
          <w:rtl/>
          <w:lang w:bidi="ar-AE"/>
        </w:rPr>
        <w:t xml:space="preserve"> قد بلغ "الغاية في الحذق باللغة، وتكنّه أسرارها، وفهم أصولها؛ إذ يردّ  مفردات كلّ مادة من مواد اللغة إلى أصولها المعنوية المشتركة، فلا يكاد يخطئه التوفيق. وقد انفرد من بين اللغويين بهذا التّأليف، ولم يسبقه أحد ولم يخلفه أحد"</w:t>
      </w:r>
      <w:r>
        <w:rPr>
          <w:rStyle w:val="Appelnotedebasdep"/>
          <w:sz w:val="32"/>
          <w:szCs w:val="32"/>
          <w:rtl/>
          <w:lang w:bidi="ar-AE"/>
        </w:rPr>
        <w:footnoteReference w:id="5"/>
      </w:r>
      <w:r>
        <w:rPr>
          <w:sz w:val="32"/>
          <w:szCs w:val="32"/>
          <w:rtl/>
          <w:lang w:bidi="ar-AE"/>
        </w:rPr>
        <w:t>.</w:t>
      </w:r>
    </w:p>
    <w:p w:rsidR="0020731B" w:rsidRDefault="0020731B" w:rsidP="0020731B">
      <w:pPr>
        <w:bidi/>
        <w:ind w:left="360"/>
        <w:jc w:val="both"/>
        <w:rPr>
          <w:sz w:val="32"/>
          <w:szCs w:val="32"/>
          <w:rtl/>
          <w:lang w:bidi="ar-AE"/>
        </w:rPr>
      </w:pPr>
      <w:r>
        <w:rPr>
          <w:b/>
          <w:bCs/>
          <w:sz w:val="32"/>
          <w:szCs w:val="32"/>
          <w:rtl/>
          <w:lang w:bidi="ar-AE"/>
        </w:rPr>
        <w:t>3-مؤلفاته:</w:t>
      </w:r>
      <w:r>
        <w:rPr>
          <w:sz w:val="32"/>
          <w:szCs w:val="32"/>
          <w:rtl/>
          <w:lang w:bidi="ar-AE"/>
        </w:rPr>
        <w:t xml:space="preserve"> له مؤلفات كثيرة، منها: الاتباع والمزاوجة، اختلاف النحويين، أصول الفقه، تمام فصيح الكلام، جامع التأويل، خلق الإنسان، دارات العرب، ذخائر الكلمات، غريب إعراب القرآن، متخيّر الألفاظ، المختصر في المذكر والمؤنث، وغيرها كثير.</w:t>
      </w:r>
    </w:p>
    <w:p w:rsidR="0020731B" w:rsidRDefault="0020731B" w:rsidP="0020731B">
      <w:pPr>
        <w:bidi/>
        <w:ind w:left="360"/>
        <w:jc w:val="both"/>
        <w:rPr>
          <w:b/>
          <w:bCs/>
          <w:sz w:val="32"/>
          <w:szCs w:val="32"/>
          <w:rtl/>
          <w:lang w:bidi="ar-AE"/>
        </w:rPr>
      </w:pPr>
      <w:r>
        <w:rPr>
          <w:b/>
          <w:bCs/>
          <w:sz w:val="32"/>
          <w:szCs w:val="32"/>
          <w:rtl/>
          <w:lang w:bidi="ar-AE"/>
        </w:rPr>
        <w:lastRenderedPageBreak/>
        <w:t>4-منهجه في جمع اللغة وتصنيفها:</w:t>
      </w:r>
    </w:p>
    <w:p w:rsidR="0020731B" w:rsidRDefault="0020731B" w:rsidP="0020731B">
      <w:pPr>
        <w:bidi/>
        <w:ind w:left="360"/>
        <w:jc w:val="both"/>
        <w:rPr>
          <w:sz w:val="32"/>
          <w:szCs w:val="32"/>
          <w:rtl/>
          <w:lang w:bidi="ar-AE"/>
        </w:rPr>
      </w:pPr>
      <w:r>
        <w:rPr>
          <w:sz w:val="32"/>
          <w:szCs w:val="32"/>
          <w:rtl/>
          <w:lang w:bidi="ar-AE"/>
        </w:rPr>
        <w:t>كانت "اللغة قد جمعت وصنفت في كتب ذات موضوعات مختلفة، وكان تأثير كتاب "العين" للخليل بن أحمد قد بلغ ذروته عند من ألّفوا في المعاجم من بعده، مثل القالي في "البارع"، والأزهري في "التهذيب"، والصاحب بن عباد في "المحيط"، وابن سيّده في"المحكم"؛ فقد نحا كلّ هؤلاء نحو الخليل وتأثروا بمنهجه في ترتيب حروف المعجم وفقا لمخارج الحروف"</w:t>
      </w:r>
      <w:r>
        <w:rPr>
          <w:rStyle w:val="Appelnotedebasdep"/>
          <w:sz w:val="32"/>
          <w:szCs w:val="32"/>
          <w:rtl/>
          <w:lang w:bidi="ar-AE"/>
        </w:rPr>
        <w:footnoteReference w:id="6"/>
      </w:r>
      <w:r>
        <w:rPr>
          <w:sz w:val="32"/>
          <w:szCs w:val="32"/>
          <w:rtl/>
          <w:lang w:bidi="ar-AE"/>
        </w:rPr>
        <w:t>، ومنهج ابن فارس في جمع اللغة وترتيبها يعتمد على "الترتيب الهجائي العادي، ولكنه لم يكن يبدأ ثواني الكلمات من الألفبائية ولكن من الحرف الذي يلي الحرف الأوّل. وحينئذ نقوله: باب الحاء وما بعدها يعني به الحاء مع الخاء، ثم يسير إلى نهاية الألفبائية، ويبدأ من الهمزة ويقف عند الجيم"</w:t>
      </w:r>
      <w:r>
        <w:rPr>
          <w:rStyle w:val="Appelnotedebasdep"/>
          <w:sz w:val="32"/>
          <w:szCs w:val="32"/>
          <w:rtl/>
          <w:lang w:bidi="ar-AE"/>
        </w:rPr>
        <w:footnoteReference w:id="7"/>
      </w:r>
      <w:r>
        <w:rPr>
          <w:sz w:val="32"/>
          <w:szCs w:val="32"/>
          <w:rtl/>
          <w:lang w:bidi="ar-AE"/>
        </w:rPr>
        <w:t xml:space="preserve">، فقد رأى ابن فارس أن يصنف المادة اللغوية على نحو آخر، وهو مخارج الحروف التي اعتمد عليها الخليل ومن نحا نحوه، وهذا يهدف إلى الكشف عن مزيد من خصائص اللغة العربية، وإفادة الباحثين من بعده، وهو يعتمد انطلاقا من العنوان "مقاييس" ما يسميه بعض اللغويين </w:t>
      </w:r>
      <w:r>
        <w:rPr>
          <w:b/>
          <w:bCs/>
          <w:sz w:val="32"/>
          <w:szCs w:val="32"/>
          <w:rtl/>
          <w:lang w:bidi="ar-AE"/>
        </w:rPr>
        <w:t>"الاشتقاق الكبير"</w:t>
      </w:r>
      <w:r>
        <w:rPr>
          <w:sz w:val="32"/>
          <w:szCs w:val="32"/>
          <w:rtl/>
          <w:lang w:bidi="ar-AE"/>
        </w:rPr>
        <w:t xml:space="preserve"> الذي يرجع مفردات كل مادة إلى معنى أو معانٍ تشترك فيها هذه المفردات، والسبب عنده أنّ "اللغة العربية مقاييس صحيحة، وأصولا تتفرّع منها فروع. وقد ألّف النّاس في جوامع اللغة ما ألّفوا، ولم يعربوا في شيء من ذلك من مقياس من تلك المقاييس، ولا أصل من الأصول. والذي أومأنا إليه باب من العلم جليل، وله خطر عظيم. وقد صدّرنا كل فصل بأصله الذي يتفرّع منه مسائله، حتى تكون الجملة الموجزة شاملة للتفصيل، ويكون المُجيب عمّ يسألُ عنه مجيبا عن الباب المبسوط بأوجز لفظٍ وأقربه"</w:t>
      </w:r>
      <w:r>
        <w:rPr>
          <w:rStyle w:val="Appelnotedebasdep"/>
          <w:sz w:val="32"/>
          <w:szCs w:val="32"/>
          <w:rtl/>
          <w:lang w:bidi="ar-AE"/>
        </w:rPr>
        <w:footnoteReference w:id="8"/>
      </w:r>
      <w:r>
        <w:rPr>
          <w:sz w:val="32"/>
          <w:szCs w:val="32"/>
          <w:rtl/>
          <w:lang w:bidi="ar-AE"/>
        </w:rPr>
        <w:t>.</w:t>
      </w:r>
    </w:p>
    <w:p w:rsidR="0020731B" w:rsidRDefault="0020731B" w:rsidP="0020731B">
      <w:pPr>
        <w:bidi/>
        <w:ind w:left="360"/>
        <w:jc w:val="both"/>
        <w:rPr>
          <w:sz w:val="32"/>
          <w:szCs w:val="32"/>
          <w:rtl/>
          <w:lang w:bidi="ar-AE"/>
        </w:rPr>
      </w:pPr>
      <w:r>
        <w:rPr>
          <w:sz w:val="32"/>
          <w:szCs w:val="32"/>
          <w:rtl/>
          <w:lang w:bidi="ar-AE"/>
        </w:rPr>
        <w:t>ففكرة مقاييس اللغة كانت هي المسيطرة على ابن فارس ويعني بها المعنى المشترك بين صيغ اللفظ المختلفة، ولهذا فقد نجح إلى حد كبير في استنباط المعنى المشترك بين صيغ المادة في الثنائي والثلاثي، لكنه عندما حاول تلك المحاولة مع الألفاظ الرباعية والخماسية لم يتمكن من ذلك، ولهذا حاول استنباط معاني هذه الألفاظ من خلال نظرية أخرى هي نظرية النحت، فهو يرى أن الرباعي والخماسي لا ينطبق عليهما القياس، لأن أكثر ما نراه فيهما منحوت، والذي يعني أن تُؤخذ كلمتان ويُنحت منهما كلمة أخرى تكون آخذة منهما جميعا بحظ، وقد اعترف ابن فارس أنّ الخليل بن أحمد له فضل السبق إلى نظريتي المعنى المشترك واللفظ.</w:t>
      </w:r>
    </w:p>
    <w:p w:rsidR="0020731B" w:rsidRDefault="0020731B" w:rsidP="0020731B">
      <w:pPr>
        <w:bidi/>
        <w:ind w:left="360"/>
        <w:jc w:val="both"/>
        <w:rPr>
          <w:sz w:val="32"/>
          <w:szCs w:val="32"/>
          <w:rtl/>
          <w:lang w:bidi="ar-AE"/>
        </w:rPr>
      </w:pPr>
      <w:r>
        <w:rPr>
          <w:sz w:val="32"/>
          <w:szCs w:val="32"/>
          <w:rtl/>
          <w:lang w:bidi="ar-AE"/>
        </w:rPr>
        <w:t xml:space="preserve">فقد جرى ابن فارس على طريقة فذة بين مؤلفي المعاجم، في وضع معجميه: المجمل والمقاييس، فهو "لم يرتب موادها على أوائل الحروف وتقليباتها كما صنع ابن دريد في </w:t>
      </w:r>
      <w:r>
        <w:rPr>
          <w:sz w:val="32"/>
          <w:szCs w:val="32"/>
          <w:rtl/>
          <w:lang w:bidi="ar-AE"/>
        </w:rPr>
        <w:lastRenderedPageBreak/>
        <w:t>الجمهرة، ولم يطردها على أبواب أواخر الكلمات، كما ابتدع الجوهري في الصحاح، وكما فعل ابن منظور والفيروزبادي في معجميهما، ولم ينسقها على أوائل الحروف فقط كما فعل الزمخشري في أساس البلاغة، والفيومي في المصباح المنير، ولكنّه سلك طريقا خاصا به، لم يفطن إليه أحد من العلماء ولا نبّه عليه"</w:t>
      </w:r>
      <w:r>
        <w:rPr>
          <w:rStyle w:val="Appelnotedebasdep"/>
          <w:sz w:val="32"/>
          <w:szCs w:val="32"/>
          <w:rtl/>
          <w:lang w:bidi="ar-AE"/>
        </w:rPr>
        <w:footnoteReference w:id="9"/>
      </w:r>
      <w:r>
        <w:rPr>
          <w:sz w:val="32"/>
          <w:szCs w:val="32"/>
          <w:rtl/>
          <w:lang w:bidi="ar-AE"/>
        </w:rPr>
        <w:t>.</w:t>
      </w:r>
    </w:p>
    <w:p w:rsidR="0020731B" w:rsidRDefault="0020731B" w:rsidP="0020731B">
      <w:pPr>
        <w:bidi/>
        <w:ind w:left="360"/>
        <w:jc w:val="both"/>
        <w:rPr>
          <w:b/>
          <w:bCs/>
          <w:sz w:val="32"/>
          <w:szCs w:val="32"/>
          <w:rtl/>
          <w:lang w:bidi="ar-AE"/>
        </w:rPr>
      </w:pPr>
      <w:r>
        <w:rPr>
          <w:b/>
          <w:bCs/>
          <w:sz w:val="32"/>
          <w:szCs w:val="32"/>
          <w:rtl/>
          <w:lang w:bidi="ar-AE"/>
        </w:rPr>
        <w:t>ولهذا فطريقته تتلخص فيما يلي:</w:t>
      </w:r>
    </w:p>
    <w:p w:rsidR="0020731B" w:rsidRDefault="0020731B" w:rsidP="0020731B">
      <w:pPr>
        <w:pStyle w:val="Paragraphedeliste"/>
        <w:numPr>
          <w:ilvl w:val="0"/>
          <w:numId w:val="1"/>
        </w:numPr>
        <w:bidi/>
        <w:jc w:val="both"/>
        <w:rPr>
          <w:sz w:val="32"/>
          <w:szCs w:val="32"/>
          <w:rtl/>
          <w:lang w:bidi="ar-AE"/>
        </w:rPr>
      </w:pPr>
      <w:r>
        <w:rPr>
          <w:sz w:val="32"/>
          <w:szCs w:val="32"/>
          <w:rtl/>
          <w:lang w:bidi="ar-AE"/>
        </w:rPr>
        <w:t>أوّلا قسّم مواد اللغة إلى كتب، تبدأ بكتاب الهمزة وتنتهي بكتاب الياء.</w:t>
      </w:r>
    </w:p>
    <w:p w:rsidR="0020731B" w:rsidRDefault="0020731B" w:rsidP="0020731B">
      <w:pPr>
        <w:pStyle w:val="Paragraphedeliste"/>
        <w:numPr>
          <w:ilvl w:val="0"/>
          <w:numId w:val="1"/>
        </w:numPr>
        <w:bidi/>
        <w:jc w:val="both"/>
        <w:rPr>
          <w:sz w:val="32"/>
          <w:szCs w:val="32"/>
          <w:lang w:bidi="ar-AE"/>
        </w:rPr>
      </w:pPr>
      <w:r>
        <w:rPr>
          <w:sz w:val="32"/>
          <w:szCs w:val="32"/>
          <w:rtl/>
          <w:lang w:bidi="ar-AE"/>
        </w:rPr>
        <w:t>قسّم كلّ "كتاب إلى أبواب ثلاثة أوّلها باب الثنائي المضاعف والمطابق، وثانيها أبواب الثنائي الأصول من المواد، وثالثها باب ما جاء على أكثر من ثلاثة حروف أصلية"</w:t>
      </w:r>
      <w:r>
        <w:rPr>
          <w:rStyle w:val="Appelnotedebasdep"/>
          <w:sz w:val="32"/>
          <w:szCs w:val="32"/>
          <w:rtl/>
          <w:lang w:bidi="ar-AE"/>
        </w:rPr>
        <w:footnoteReference w:id="10"/>
      </w:r>
      <w:r>
        <w:rPr>
          <w:sz w:val="32"/>
          <w:szCs w:val="32"/>
          <w:rtl/>
          <w:lang w:bidi="ar-AE"/>
        </w:rPr>
        <w:t>، فقد اختصر نظرية الخليل حتّى يتمكّن من تطبيق نظريته تطبيقا محكما، فباب الثنائي المضاعف مثل: أبّ، أثّ، أتّ وهكذا، وباب الثلاثي مثل: أبت، أبث، أبد، فما زاد ذلك من الرباعي أو الخماسي خصّه بباب.</w:t>
      </w:r>
    </w:p>
    <w:p w:rsidR="0020731B" w:rsidRDefault="0020731B" w:rsidP="0020731B">
      <w:pPr>
        <w:pStyle w:val="Paragraphedeliste"/>
        <w:numPr>
          <w:ilvl w:val="0"/>
          <w:numId w:val="1"/>
        </w:numPr>
        <w:bidi/>
        <w:jc w:val="both"/>
        <w:rPr>
          <w:sz w:val="32"/>
          <w:szCs w:val="32"/>
          <w:lang w:bidi="ar-AE"/>
        </w:rPr>
      </w:pPr>
      <w:r>
        <w:rPr>
          <w:sz w:val="32"/>
          <w:szCs w:val="32"/>
          <w:rtl/>
          <w:lang w:bidi="ar-AE"/>
        </w:rPr>
        <w:t>والأمر "الدقيق في هذا التقسيم أنّ كلّ قسم من القسمين الأوّلين قد التُزم فيه ترتيب خاص، هو ألّا يبدأ بعد الحرف الأوّل إلّا بالذي يليه، ولذا جاء باب المضاعف في كتاب الهمزة، وباب الثلاثي ممّا أوّله همزة وباء مرتّبا ترتيبا طبيعيا على نسق حروف الهجاء"</w:t>
      </w:r>
      <w:r>
        <w:rPr>
          <w:rStyle w:val="Appelnotedebasdep"/>
          <w:sz w:val="32"/>
          <w:szCs w:val="32"/>
          <w:rtl/>
          <w:lang w:bidi="ar-AE"/>
        </w:rPr>
        <w:footnoteReference w:id="11"/>
      </w:r>
      <w:r>
        <w:rPr>
          <w:sz w:val="32"/>
          <w:szCs w:val="32"/>
          <w:rtl/>
          <w:lang w:bidi="ar-AE"/>
        </w:rPr>
        <w:t>.</w:t>
      </w:r>
    </w:p>
    <w:p w:rsidR="0020731B" w:rsidRDefault="0020731B" w:rsidP="0020731B">
      <w:pPr>
        <w:bidi/>
        <w:ind w:left="360"/>
        <w:jc w:val="both"/>
        <w:rPr>
          <w:sz w:val="32"/>
          <w:szCs w:val="32"/>
          <w:lang w:bidi="ar-AE"/>
        </w:rPr>
      </w:pPr>
      <w:r>
        <w:rPr>
          <w:sz w:val="32"/>
          <w:szCs w:val="32"/>
          <w:rtl/>
          <w:lang w:bidi="ar-AE"/>
        </w:rPr>
        <w:t>فالطريقة التي اتّبعها في ترتيب المادة اللغوية قد انفرد بها ولم يشاركه فيها أحد، فهي بِدْعٌ، لأنّه لم يكن يبدأ ثواني الكلمات من أول الأفبائية ولكن من الحرف الثاني أي الحرف الذي يلي الحرف الأوّل، وحينئذ فقوله: باب الحاء وما بعدها يعني به الحاء مع الخاء، ثمّ يسير إلى نهاية الألفبائية، ويبدأ من الهمزة ويقف عند الجيم"</w:t>
      </w:r>
      <w:r>
        <w:rPr>
          <w:rStyle w:val="Appelnotedebasdep"/>
          <w:sz w:val="32"/>
          <w:szCs w:val="32"/>
          <w:rtl/>
          <w:lang w:bidi="ar-AE"/>
        </w:rPr>
        <w:footnoteReference w:id="12"/>
      </w:r>
      <w:r>
        <w:rPr>
          <w:sz w:val="32"/>
          <w:szCs w:val="32"/>
          <w:rtl/>
          <w:lang w:bidi="ar-AE"/>
        </w:rPr>
        <w:t>، ويبدو أنّه أخذ فكرته في الثواني بما يلي الأوائل وبالثوالث بما يلي الثواني، من معاجم التقليبات، ولكن معاجم التقليبات فعلت ذلك تجنبا للتكرار، ولا حكمة في صنيع ابن فارس.</w:t>
      </w:r>
    </w:p>
    <w:p w:rsidR="0020731B" w:rsidRDefault="0020731B" w:rsidP="0020731B">
      <w:pPr>
        <w:bidi/>
        <w:ind w:left="360"/>
        <w:jc w:val="both"/>
        <w:rPr>
          <w:sz w:val="32"/>
          <w:szCs w:val="32"/>
          <w:rtl/>
          <w:lang w:bidi="ar-AE"/>
        </w:rPr>
      </w:pPr>
      <w:r>
        <w:rPr>
          <w:sz w:val="32"/>
          <w:szCs w:val="32"/>
          <w:rtl/>
          <w:lang w:bidi="ar-AE"/>
        </w:rPr>
        <w:t>فإذا أردنا تبسيط فكرته فإننا نتصور أن الأبجدية منتظمة في شكل دائرة، فإن الترتيب يبدأ من الحرف المعيَّن فنبدأ بتأليفه مع ما يليه في الدائرة ثم ينتقل إلى الحرف الثاني حتى تعود الدائرة من حيث بدأت وهكذا.</w:t>
      </w:r>
    </w:p>
    <w:p w:rsidR="0020731B" w:rsidRDefault="0020731B" w:rsidP="0020731B">
      <w:pPr>
        <w:bidi/>
        <w:ind w:left="360"/>
        <w:jc w:val="both"/>
        <w:rPr>
          <w:sz w:val="32"/>
          <w:szCs w:val="32"/>
          <w:rtl/>
          <w:lang w:bidi="ar-AE"/>
        </w:rPr>
      </w:pPr>
      <w:r>
        <w:rPr>
          <w:sz w:val="32"/>
          <w:szCs w:val="32"/>
          <w:rtl/>
          <w:lang w:bidi="ar-AE"/>
        </w:rPr>
        <w:t xml:space="preserve">وفعل ذلك في الحروف الثالثة. وعلى هذا فكلمة مثل"عبد" توضع في المقاييس بعد كلمة "عقد" لأن القاف تلي العين بحرفين أما الباء فلا يأتي دورها إلا بعد الانتهاء من جميع حروف الهجاء ثم البدأ بالهمزة وهكذا. وإذا "كان الباب في الهمزة والتاء وما يثلثهما، بدأ </w:t>
      </w:r>
      <w:r>
        <w:rPr>
          <w:sz w:val="32"/>
          <w:szCs w:val="32"/>
          <w:rtl/>
          <w:lang w:bidi="ar-AE"/>
        </w:rPr>
        <w:lastRenderedPageBreak/>
        <w:t>بالحرف الذي يلي التاء الذي يسبقها، أي أنه لم يبدأ بأتب، بل سلسل ألفاظ هذا الباب على النحو التالي: أتل، أتن، أته، أتو، أتى، ثم يعود فيأتي بمادة أتب في نهاية الباب"</w:t>
      </w:r>
      <w:r>
        <w:rPr>
          <w:rStyle w:val="Appelnotedebasdep"/>
          <w:sz w:val="32"/>
          <w:szCs w:val="32"/>
          <w:rtl/>
          <w:lang w:bidi="ar-AE"/>
        </w:rPr>
        <w:footnoteReference w:id="13"/>
      </w:r>
      <w:r>
        <w:rPr>
          <w:sz w:val="32"/>
          <w:szCs w:val="32"/>
          <w:rtl/>
          <w:lang w:bidi="ar-AE"/>
        </w:rPr>
        <w:t>، والأمر نفسه في باب الهمزة والجيم وما يثلثهما، فقد رتبت الكلمات كما يلي: أجح، أجد، أجر، أجص، أجل، أجم، أجن، ثم عاد فاستدرك مادة أجأ في نهاية الباب.</w:t>
      </w:r>
    </w:p>
    <w:p w:rsidR="0020731B" w:rsidRDefault="0020731B" w:rsidP="0020731B">
      <w:pPr>
        <w:bidi/>
        <w:ind w:left="360"/>
        <w:jc w:val="both"/>
        <w:rPr>
          <w:sz w:val="32"/>
          <w:szCs w:val="32"/>
          <w:rtl/>
          <w:lang w:bidi="ar-AE"/>
        </w:rPr>
      </w:pPr>
      <w:r>
        <w:rPr>
          <w:sz w:val="32"/>
          <w:szCs w:val="32"/>
          <w:rtl/>
          <w:lang w:bidi="ar-AE"/>
        </w:rPr>
        <w:t>على أن ابن فارس لم يراع هذا الترتيب في الكلمات الرباعية والخماسية، واكتفى بأنْ أتى بالألفاظ للحرف المعقود له كل باب دون مراعاة الحرف الثاني، ودون مراعاة للفصل بين الرباعي والخماسي.</w:t>
      </w:r>
    </w:p>
    <w:p w:rsidR="0020731B" w:rsidRDefault="0020731B" w:rsidP="0020731B">
      <w:pPr>
        <w:bidi/>
        <w:ind w:left="360"/>
        <w:jc w:val="both"/>
        <w:rPr>
          <w:b/>
          <w:bCs/>
          <w:sz w:val="32"/>
          <w:szCs w:val="32"/>
          <w:rtl/>
          <w:lang w:bidi="ar-AE"/>
        </w:rPr>
      </w:pPr>
      <w:r>
        <w:rPr>
          <w:b/>
          <w:bCs/>
          <w:sz w:val="32"/>
          <w:szCs w:val="32"/>
          <w:rtl/>
          <w:lang w:bidi="ar-AE"/>
        </w:rPr>
        <w:t>5-ما يميز معجم مقاييس اللغة:</w:t>
      </w:r>
    </w:p>
    <w:p w:rsidR="0020731B" w:rsidRDefault="0020731B" w:rsidP="0020731B">
      <w:pPr>
        <w:pStyle w:val="Paragraphedeliste"/>
        <w:numPr>
          <w:ilvl w:val="0"/>
          <w:numId w:val="2"/>
        </w:numPr>
        <w:bidi/>
        <w:jc w:val="both"/>
        <w:rPr>
          <w:sz w:val="32"/>
          <w:szCs w:val="32"/>
          <w:rtl/>
          <w:lang w:bidi="ar-AE"/>
        </w:rPr>
      </w:pPr>
      <w:r>
        <w:rPr>
          <w:sz w:val="32"/>
          <w:szCs w:val="32"/>
          <w:rtl/>
          <w:lang w:bidi="ar-AE"/>
        </w:rPr>
        <w:t>انفراده بفكرته الخاصة في جمع اللغة لم يشاركه فيها أحد.</w:t>
      </w:r>
    </w:p>
    <w:p w:rsidR="0020731B" w:rsidRDefault="0020731B" w:rsidP="0020731B">
      <w:pPr>
        <w:pStyle w:val="Paragraphedeliste"/>
        <w:numPr>
          <w:ilvl w:val="0"/>
          <w:numId w:val="2"/>
        </w:numPr>
        <w:bidi/>
        <w:jc w:val="both"/>
        <w:rPr>
          <w:sz w:val="32"/>
          <w:szCs w:val="32"/>
          <w:lang w:bidi="ar-AE"/>
        </w:rPr>
      </w:pPr>
      <w:r>
        <w:rPr>
          <w:sz w:val="32"/>
          <w:szCs w:val="32"/>
          <w:rtl/>
          <w:lang w:bidi="ar-AE"/>
        </w:rPr>
        <w:t>لم يأت بالكلام العربي الفصيح، ومن ثم فقد نصّ على كلّ ما هو مشكوك في صحّته، مثل "الباء واللام والزاي، وفيه كليمات، فالبِلِزُ المرأة القصيرة، ويقولون البَلْأَزُ: القصير من الرجال. والبلْأَزةُ: الأكل، وفي جميع ذلك نظرٌ"</w:t>
      </w:r>
      <w:r>
        <w:rPr>
          <w:rStyle w:val="Appelnotedebasdep"/>
          <w:sz w:val="32"/>
          <w:szCs w:val="32"/>
          <w:rtl/>
          <w:lang w:bidi="ar-AE"/>
        </w:rPr>
        <w:footnoteReference w:id="14"/>
      </w:r>
      <w:r>
        <w:rPr>
          <w:sz w:val="32"/>
          <w:szCs w:val="32"/>
          <w:rtl/>
          <w:lang w:bidi="ar-AE"/>
        </w:rPr>
        <w:t>.</w:t>
      </w:r>
    </w:p>
    <w:p w:rsidR="0020731B" w:rsidRDefault="0020731B" w:rsidP="0020731B">
      <w:pPr>
        <w:pStyle w:val="Paragraphedeliste"/>
        <w:numPr>
          <w:ilvl w:val="0"/>
          <w:numId w:val="2"/>
        </w:numPr>
        <w:bidi/>
        <w:jc w:val="both"/>
        <w:rPr>
          <w:sz w:val="32"/>
          <w:szCs w:val="32"/>
          <w:lang w:bidi="ar-AE"/>
        </w:rPr>
      </w:pPr>
      <w:r>
        <w:rPr>
          <w:sz w:val="32"/>
          <w:szCs w:val="32"/>
          <w:rtl/>
          <w:lang w:bidi="ar-AE"/>
        </w:rPr>
        <w:t>محاولة ربط المعاني الجزئية للمعاني بمعنى عام يجمعها أو معان عامة، وخير مثال على ذلك مادة "جن" التي ردّها إلى معنى الستر والتستّر، "فالجنة ما يصير إليه المسلمون في الآخرة، وهو ثواب مستور عنهم اليوم، والجنّة البستان، وهو كذلك لأن ورقه يستر... والجنين: الولد في بطن أمه، والجنين المقبور، والجَنان: القلب. والمِجَنُّ: الترس، وكل ما اسُتِر به من السّلاح فهو جُنّةٌ..."</w:t>
      </w:r>
      <w:r>
        <w:rPr>
          <w:rStyle w:val="Appelnotedebasdep"/>
          <w:sz w:val="32"/>
          <w:szCs w:val="32"/>
          <w:rtl/>
          <w:lang w:bidi="ar-AE"/>
        </w:rPr>
        <w:footnoteReference w:id="15"/>
      </w:r>
      <w:r>
        <w:rPr>
          <w:sz w:val="32"/>
          <w:szCs w:val="32"/>
          <w:rtl/>
          <w:lang w:bidi="ar-AE"/>
        </w:rPr>
        <w:t>.</w:t>
      </w:r>
    </w:p>
    <w:p w:rsidR="0020731B" w:rsidRDefault="0020731B" w:rsidP="0020731B">
      <w:pPr>
        <w:pStyle w:val="Paragraphedeliste"/>
        <w:numPr>
          <w:ilvl w:val="0"/>
          <w:numId w:val="2"/>
        </w:numPr>
        <w:bidi/>
        <w:jc w:val="both"/>
        <w:rPr>
          <w:sz w:val="32"/>
          <w:szCs w:val="32"/>
          <w:lang w:bidi="ar-AE"/>
        </w:rPr>
      </w:pPr>
      <w:r>
        <w:rPr>
          <w:sz w:val="32"/>
          <w:szCs w:val="32"/>
          <w:rtl/>
          <w:lang w:bidi="ar-AE"/>
        </w:rPr>
        <w:t>منهجه في الرباعي والخماسي بإتباع قاعدة النحت، بأن تأخذ كلمتان وتنحت منهما كلمة تكون آخذة منهما جميعا بحظ، والأصل في ذلك ما ذكره الخليل من قولهم: حيعل الرّجل إذا قال حيّ على.</w:t>
      </w:r>
    </w:p>
    <w:p w:rsidR="0020731B" w:rsidRDefault="0020731B" w:rsidP="0020731B">
      <w:pPr>
        <w:pStyle w:val="Paragraphedeliste"/>
        <w:bidi/>
        <w:jc w:val="both"/>
        <w:rPr>
          <w:sz w:val="32"/>
          <w:szCs w:val="32"/>
          <w:lang w:bidi="ar-AE"/>
        </w:rPr>
      </w:pPr>
      <w:r>
        <w:rPr>
          <w:sz w:val="32"/>
          <w:szCs w:val="32"/>
          <w:rtl/>
          <w:lang w:bidi="ar-AE"/>
        </w:rPr>
        <w:t>ومهما يكن من شيء فإن "مقاييس اللغة" معجم خاص، يهم الباحثين في فقه اللغة العربية بالدرجة الأولى، وليس من المراجع التي يرجع إليها في الأحوال العادية لمجرد الكشف عن معنى لفظة من ألفاظ اللغة.</w:t>
      </w:r>
    </w:p>
    <w:p w:rsidR="0020731B" w:rsidRDefault="0020731B" w:rsidP="0020731B">
      <w:pPr>
        <w:pStyle w:val="Paragraphedeliste"/>
        <w:bidi/>
        <w:jc w:val="both"/>
        <w:rPr>
          <w:sz w:val="32"/>
          <w:szCs w:val="32"/>
          <w:rtl/>
          <w:lang w:bidi="ar-AE"/>
        </w:rPr>
      </w:pPr>
    </w:p>
    <w:p w:rsidR="0020731B" w:rsidRDefault="0020731B" w:rsidP="0020731B">
      <w:pPr>
        <w:pStyle w:val="Paragraphedeliste"/>
        <w:bidi/>
        <w:jc w:val="both"/>
        <w:rPr>
          <w:b/>
          <w:bCs/>
          <w:sz w:val="32"/>
          <w:szCs w:val="32"/>
          <w:rtl/>
          <w:lang w:bidi="ar-AE"/>
        </w:rPr>
      </w:pPr>
      <w:r>
        <w:rPr>
          <w:b/>
          <w:bCs/>
          <w:sz w:val="32"/>
          <w:szCs w:val="32"/>
          <w:rtl/>
          <w:lang w:bidi="ar-AE"/>
        </w:rPr>
        <w:t>6-نموذج من كتاب المقاييس:</w:t>
      </w:r>
    </w:p>
    <w:p w:rsidR="0020731B" w:rsidRDefault="0020731B" w:rsidP="0020731B">
      <w:pPr>
        <w:pStyle w:val="Paragraphedeliste"/>
        <w:bidi/>
        <w:jc w:val="both"/>
        <w:rPr>
          <w:sz w:val="32"/>
          <w:szCs w:val="32"/>
          <w:rtl/>
          <w:lang w:bidi="ar-AE"/>
        </w:rPr>
      </w:pPr>
      <w:r>
        <w:rPr>
          <w:sz w:val="32"/>
          <w:szCs w:val="32"/>
          <w:rtl/>
          <w:lang w:bidi="ar-AE"/>
        </w:rPr>
        <w:t>كتب الهمزة "باب الهمزة" في الذي يقال له المضاعف:</w:t>
      </w:r>
    </w:p>
    <w:p w:rsidR="0020731B" w:rsidRDefault="0020731B" w:rsidP="0020731B">
      <w:pPr>
        <w:pStyle w:val="Paragraphedeliste"/>
        <w:bidi/>
        <w:jc w:val="both"/>
        <w:rPr>
          <w:sz w:val="32"/>
          <w:szCs w:val="32"/>
          <w:rtl/>
          <w:lang w:bidi="ar-AE"/>
        </w:rPr>
      </w:pPr>
      <w:r>
        <w:rPr>
          <w:sz w:val="32"/>
          <w:szCs w:val="32"/>
          <w:rtl/>
          <w:lang w:bidi="ar-AE"/>
        </w:rPr>
        <w:t xml:space="preserve">"أبّ" اعلم أنّ للهمزة والباء في المضاعف أصلين، أحدهما المرعى، والآخر القصد والتهيؤ، فأما الأول فقول الله عزّ وجلّ: وفاكهة وأبّا، قال أبو زيد الأنصاري: لم </w:t>
      </w:r>
      <w:r>
        <w:rPr>
          <w:sz w:val="32"/>
          <w:szCs w:val="32"/>
          <w:rtl/>
          <w:lang w:bidi="ar-AE"/>
        </w:rPr>
        <w:lastRenderedPageBreak/>
        <w:t xml:space="preserve">أسمع للأبّْ ذكرا إلّا في القرآن. قال الخليل وأبو زيد: الأبُّ المرعى، بوزن فعْل، وأنشدَ ابن دُريد: </w:t>
      </w:r>
    </w:p>
    <w:p w:rsidR="0020731B" w:rsidRDefault="0020731B" w:rsidP="0020731B">
      <w:pPr>
        <w:pStyle w:val="Paragraphedeliste"/>
        <w:bidi/>
        <w:jc w:val="both"/>
        <w:rPr>
          <w:sz w:val="32"/>
          <w:szCs w:val="32"/>
          <w:rtl/>
          <w:lang w:bidi="ar-AE"/>
        </w:rPr>
      </w:pPr>
      <w:r>
        <w:rPr>
          <w:sz w:val="32"/>
          <w:szCs w:val="32"/>
          <w:rtl/>
          <w:lang w:bidi="ar-AE"/>
        </w:rPr>
        <w:t xml:space="preserve">              جِذمنا قيْسٌ ونجْدٌ دارُنا      ولنا الأبُّ به والمَكرَعُ</w:t>
      </w:r>
    </w:p>
    <w:p w:rsidR="0020731B" w:rsidRDefault="0020731B" w:rsidP="0020731B">
      <w:pPr>
        <w:pStyle w:val="Paragraphedeliste"/>
        <w:bidi/>
        <w:jc w:val="both"/>
        <w:rPr>
          <w:sz w:val="32"/>
          <w:szCs w:val="32"/>
          <w:rtl/>
          <w:lang w:bidi="ar-AE"/>
        </w:rPr>
      </w:pPr>
      <w:r>
        <w:rPr>
          <w:sz w:val="32"/>
          <w:szCs w:val="32"/>
          <w:rtl/>
          <w:lang w:bidi="ar-AE"/>
        </w:rPr>
        <w:t>أي تحفظ، يقال: صحبك الله أي حفظك. قال أبو إسحاق الزّجاج: الأبُّ جميع الكلإ الذي تعتلفُه الماشية، كما رُوٍي عن ابن عباس رضي اللّه عنه، فهذا أصل. وأما الثاني فقال الخليل وابن دُريد: الأبُّ في قول ابن دريد: الأبُّ مصدر أبَّ فلان إلى سيفه إذا ردّ يده إليه ليستلّه. الأبُّ في قول ابن دريد: النزاع إلى الوطن، والأبُّ في روايتهما التهيُّؤ للمسي. وقال الخليل وحده: أبَّ هذا الشّيء، أذا تهيّأَ واستقامت طريقته إبابةً. وأنشد للأعشى:</w:t>
      </w:r>
    </w:p>
    <w:p w:rsidR="0020731B" w:rsidRDefault="0020731B" w:rsidP="0020731B">
      <w:pPr>
        <w:pStyle w:val="Paragraphedeliste"/>
        <w:bidi/>
        <w:jc w:val="both"/>
        <w:rPr>
          <w:sz w:val="32"/>
          <w:szCs w:val="32"/>
          <w:rtl/>
          <w:lang w:bidi="ar-AE"/>
        </w:rPr>
      </w:pPr>
      <w:r>
        <w:rPr>
          <w:sz w:val="32"/>
          <w:szCs w:val="32"/>
          <w:rtl/>
          <w:lang w:bidi="ar-AE"/>
        </w:rPr>
        <w:t>صَرِمتُ ولم أصْرِمكُمْ وكصارمٍ       أخٌ قد طوى كشحاً وأبَّ ليذهبا</w:t>
      </w:r>
    </w:p>
    <w:p w:rsidR="0020731B" w:rsidRDefault="0020731B" w:rsidP="0020731B">
      <w:pPr>
        <w:pStyle w:val="Paragraphedeliste"/>
        <w:bidi/>
        <w:jc w:val="both"/>
        <w:rPr>
          <w:sz w:val="32"/>
          <w:szCs w:val="32"/>
          <w:rtl/>
          <w:lang w:bidi="ar-AE"/>
        </w:rPr>
      </w:pPr>
      <w:r>
        <w:rPr>
          <w:sz w:val="32"/>
          <w:szCs w:val="32"/>
          <w:rtl/>
          <w:lang w:bidi="ar-AE"/>
        </w:rPr>
        <w:t>وقال هشام بن عقبة في الإبابة:</w:t>
      </w:r>
    </w:p>
    <w:p w:rsidR="0020731B" w:rsidRDefault="0020731B" w:rsidP="0020731B">
      <w:pPr>
        <w:pStyle w:val="Paragraphedeliste"/>
        <w:bidi/>
        <w:jc w:val="both"/>
        <w:rPr>
          <w:sz w:val="32"/>
          <w:szCs w:val="32"/>
          <w:rtl/>
          <w:lang w:bidi="ar-AE"/>
        </w:rPr>
      </w:pPr>
      <w:r>
        <w:rPr>
          <w:sz w:val="32"/>
          <w:szCs w:val="32"/>
          <w:rtl/>
          <w:lang w:bidi="ar-AE"/>
        </w:rPr>
        <w:t>وأبُّ ذو المحضَر البادي إباءتَهُ       وقوَّضْتُ نيّةُ اطنابُ يخْيِمِ</w:t>
      </w:r>
    </w:p>
    <w:p w:rsidR="0020731B" w:rsidRDefault="0020731B" w:rsidP="0020731B">
      <w:pPr>
        <w:pStyle w:val="Paragraphedeliste"/>
        <w:bidi/>
        <w:jc w:val="both"/>
        <w:rPr>
          <w:sz w:val="32"/>
          <w:szCs w:val="32"/>
          <w:rtl/>
          <w:lang w:bidi="ar-AE"/>
        </w:rPr>
      </w:pPr>
      <w:r>
        <w:rPr>
          <w:sz w:val="32"/>
          <w:szCs w:val="32"/>
          <w:rtl/>
          <w:lang w:bidi="ar-AE"/>
        </w:rPr>
        <w:t>وذكر ناسٌ أن الظباء لا ترد ولا يُعرفُ لها وردٌ. قالوا: ولذلك قالت العرب في الظباء: "إنْ وَجَدَتْ فلا عبَابَ، وإنْ عَدِمتْ فلا أباب" معناه إذا وجدت ماء لم تعُبَّ فيه، وإن لم يجده فلم تأبُبْ لطلبه، والله أعلم بصحّة ذلك. والأبُّ: القصدُ، يقال أببت أبّه، وأممتُ امّهُ، وحممْتُ حمَّهُ، وحردتُ حردهُ، وصمدتُ صمْدهُ. قال الراجز يصف ذئبا:مرّ مُدِلّ كرشاءِ الغربِ     فأبَّ أبَّ غنمي وأبَّ</w:t>
      </w:r>
    </w:p>
    <w:p w:rsidR="0020731B" w:rsidRDefault="0020731B" w:rsidP="0020731B">
      <w:pPr>
        <w:pStyle w:val="Paragraphedeliste"/>
        <w:bidi/>
        <w:jc w:val="both"/>
        <w:rPr>
          <w:sz w:val="32"/>
          <w:szCs w:val="32"/>
          <w:rtl/>
          <w:lang w:bidi="ar-AE"/>
        </w:rPr>
      </w:pPr>
      <w:r>
        <w:rPr>
          <w:sz w:val="32"/>
          <w:szCs w:val="32"/>
          <w:rtl/>
          <w:lang w:bidi="ar-AE"/>
        </w:rPr>
        <w:t>أي قصد قصدها وقصدي. من كتاب المقاييس، ص 6-7.</w:t>
      </w:r>
    </w:p>
    <w:p w:rsidR="00AC4C6E" w:rsidRDefault="00AC4C6E" w:rsidP="0020731B">
      <w:pPr>
        <w:bidi/>
        <w:rPr>
          <w:lang w:bidi="ar-AE"/>
        </w:rPr>
      </w:pPr>
    </w:p>
    <w:sectPr w:rsidR="00AC4C6E" w:rsidSect="00AC4C6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C5A" w:rsidRDefault="00EB3C5A" w:rsidP="0020731B">
      <w:pPr>
        <w:spacing w:after="0" w:line="240" w:lineRule="auto"/>
      </w:pPr>
      <w:r>
        <w:separator/>
      </w:r>
    </w:p>
  </w:endnote>
  <w:endnote w:type="continuationSeparator" w:id="1">
    <w:p w:rsidR="00EB3C5A" w:rsidRDefault="00EB3C5A" w:rsidP="0020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25223"/>
      <w:docPartObj>
        <w:docPartGallery w:val="Page Numbers (Bottom of Page)"/>
        <w:docPartUnique/>
      </w:docPartObj>
    </w:sdtPr>
    <w:sdtContent>
      <w:p w:rsidR="0020731B" w:rsidRDefault="00FA2889">
        <w:pPr>
          <w:pStyle w:val="Pieddepage"/>
          <w:jc w:val="center"/>
        </w:pPr>
        <w:fldSimple w:instr=" PAGE   \* MERGEFORMAT ">
          <w:r w:rsidR="00A46016">
            <w:rPr>
              <w:noProof/>
            </w:rPr>
            <w:t>1</w:t>
          </w:r>
        </w:fldSimple>
      </w:p>
    </w:sdtContent>
  </w:sdt>
  <w:p w:rsidR="0020731B" w:rsidRDefault="002073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C5A" w:rsidRDefault="00EB3C5A" w:rsidP="0020731B">
      <w:pPr>
        <w:spacing w:after="0" w:line="240" w:lineRule="auto"/>
      </w:pPr>
      <w:r>
        <w:separator/>
      </w:r>
    </w:p>
  </w:footnote>
  <w:footnote w:type="continuationSeparator" w:id="1">
    <w:p w:rsidR="00EB3C5A" w:rsidRDefault="00EB3C5A" w:rsidP="0020731B">
      <w:pPr>
        <w:spacing w:after="0" w:line="240" w:lineRule="auto"/>
      </w:pPr>
      <w:r>
        <w:continuationSeparator/>
      </w:r>
    </w:p>
  </w:footnote>
  <w:footnote w:id="2">
    <w:p w:rsidR="0020731B" w:rsidRDefault="0020731B" w:rsidP="0020731B">
      <w:pPr>
        <w:pStyle w:val="Notedebasdepage"/>
        <w:bidi/>
        <w:rPr>
          <w:rtl/>
          <w:lang w:bidi="ar-AE"/>
        </w:rPr>
      </w:pPr>
      <w:r>
        <w:rPr>
          <w:rStyle w:val="Appelnotedebasdep"/>
        </w:rPr>
        <w:footnoteRef/>
      </w:r>
      <w:r>
        <w:t xml:space="preserve"> </w:t>
      </w:r>
      <w:r>
        <w:rPr>
          <w:rtl/>
        </w:rPr>
        <w:t xml:space="preserve"> </w:t>
      </w:r>
      <w:r>
        <w:rPr>
          <w:rtl/>
          <w:lang w:bidi="ar-AE"/>
        </w:rPr>
        <w:t>ابن فارس، مقاييس اللغة، تح: عبد السلام محمد هارون، مجلد 1، دار الجيل، بيروت، د ت،ط2، ص3.</w:t>
      </w:r>
    </w:p>
  </w:footnote>
  <w:footnote w:id="3">
    <w:p w:rsidR="0020731B" w:rsidRDefault="0020731B" w:rsidP="0020731B">
      <w:pPr>
        <w:pStyle w:val="Notedebasdepage"/>
        <w:bidi/>
        <w:rPr>
          <w:rtl/>
          <w:lang w:bidi="ar-AE"/>
        </w:rPr>
      </w:pPr>
      <w:r>
        <w:rPr>
          <w:rStyle w:val="Appelnotedebasdep"/>
        </w:rPr>
        <w:footnoteRef/>
      </w:r>
      <w:r>
        <w:t xml:space="preserve"> </w:t>
      </w:r>
      <w:r>
        <w:rPr>
          <w:rtl/>
        </w:rPr>
        <w:t xml:space="preserve"> المرجع نفسه، ص8.</w:t>
      </w:r>
    </w:p>
  </w:footnote>
  <w:footnote w:id="4">
    <w:p w:rsidR="0020731B" w:rsidRDefault="0020731B" w:rsidP="0020731B">
      <w:pPr>
        <w:pStyle w:val="Notedebasdepage"/>
        <w:bidi/>
        <w:rPr>
          <w:rtl/>
          <w:lang w:bidi="ar-AE"/>
        </w:rPr>
      </w:pPr>
      <w:r>
        <w:rPr>
          <w:rStyle w:val="Appelnotedebasdep"/>
        </w:rPr>
        <w:footnoteRef/>
      </w:r>
      <w:r>
        <w:t xml:space="preserve"> </w:t>
      </w:r>
      <w:r>
        <w:rPr>
          <w:rtl/>
          <w:lang w:bidi="ar-AE"/>
        </w:rPr>
        <w:t xml:space="preserve"> المرجع نفسه، ص 15.</w:t>
      </w:r>
    </w:p>
  </w:footnote>
  <w:footnote w:id="5">
    <w:p w:rsidR="0020731B" w:rsidRDefault="0020731B" w:rsidP="0020731B">
      <w:pPr>
        <w:pStyle w:val="Notedebasdepage"/>
        <w:bidi/>
        <w:rPr>
          <w:rtl/>
          <w:lang w:bidi="ar-AE"/>
        </w:rPr>
      </w:pPr>
      <w:r>
        <w:rPr>
          <w:rStyle w:val="Appelnotedebasdep"/>
        </w:rPr>
        <w:footnoteRef/>
      </w:r>
      <w:r>
        <w:t xml:space="preserve"> </w:t>
      </w:r>
      <w:r>
        <w:rPr>
          <w:rtl/>
        </w:rPr>
        <w:t xml:space="preserve"> المرجع نفسه، ص23.</w:t>
      </w:r>
    </w:p>
  </w:footnote>
  <w:footnote w:id="6">
    <w:p w:rsidR="0020731B" w:rsidRDefault="0020731B" w:rsidP="0020731B">
      <w:pPr>
        <w:pStyle w:val="Notedebasdepage"/>
        <w:bidi/>
        <w:rPr>
          <w:rtl/>
          <w:lang w:bidi="ar-AE"/>
        </w:rPr>
      </w:pPr>
      <w:r>
        <w:rPr>
          <w:rStyle w:val="Appelnotedebasdep"/>
        </w:rPr>
        <w:footnoteRef/>
      </w:r>
      <w:r>
        <w:t xml:space="preserve"> </w:t>
      </w:r>
      <w:r>
        <w:rPr>
          <w:rtl/>
          <w:lang w:bidi="ar-AE"/>
        </w:rPr>
        <w:t xml:space="preserve"> عز الدين إسماعيل، مرجع سابق، ص276.</w:t>
      </w:r>
    </w:p>
  </w:footnote>
  <w:footnote w:id="7">
    <w:p w:rsidR="0020731B" w:rsidRDefault="0020731B" w:rsidP="0020731B">
      <w:pPr>
        <w:pStyle w:val="Notedebasdepage"/>
        <w:bidi/>
        <w:rPr>
          <w:rtl/>
          <w:lang w:bidi="ar-AE"/>
        </w:rPr>
      </w:pPr>
      <w:r>
        <w:rPr>
          <w:rStyle w:val="Appelnotedebasdep"/>
        </w:rPr>
        <w:footnoteRef/>
      </w:r>
      <w:r>
        <w:t xml:space="preserve"> </w:t>
      </w:r>
      <w:r>
        <w:rPr>
          <w:rtl/>
        </w:rPr>
        <w:t xml:space="preserve"> أحمد مختار عمر، البحث اللغوي عند العرب، مع دراسة لقضية التأثير والتأثر، عالم الكتب، القاهرة، مصر، ط6، 1988، ص 212.</w:t>
      </w:r>
    </w:p>
  </w:footnote>
  <w:footnote w:id="8">
    <w:p w:rsidR="0020731B" w:rsidRDefault="0020731B" w:rsidP="0020731B">
      <w:pPr>
        <w:pStyle w:val="Notedebasdepage"/>
        <w:bidi/>
        <w:rPr>
          <w:rtl/>
          <w:lang w:bidi="ar-AE"/>
        </w:rPr>
      </w:pPr>
      <w:r>
        <w:rPr>
          <w:rStyle w:val="Appelnotedebasdep"/>
        </w:rPr>
        <w:footnoteRef/>
      </w:r>
      <w:r>
        <w:t xml:space="preserve"> </w:t>
      </w:r>
      <w:r>
        <w:rPr>
          <w:rtl/>
          <w:lang w:bidi="ar-AE"/>
        </w:rPr>
        <w:t xml:space="preserve"> مقاييس اللغة، ص 4.</w:t>
      </w:r>
    </w:p>
  </w:footnote>
  <w:footnote w:id="9">
    <w:p w:rsidR="0020731B" w:rsidRDefault="0020731B" w:rsidP="0020731B">
      <w:pPr>
        <w:pStyle w:val="Notedebasdepage"/>
        <w:bidi/>
        <w:rPr>
          <w:rtl/>
          <w:lang w:bidi="ar-AE"/>
        </w:rPr>
      </w:pPr>
      <w:r>
        <w:rPr>
          <w:rStyle w:val="Appelnotedebasdep"/>
        </w:rPr>
        <w:footnoteRef/>
      </w:r>
      <w:r>
        <w:rPr>
          <w:rtl/>
        </w:rPr>
        <w:t xml:space="preserve"> المقاييس، ص42.</w:t>
      </w:r>
    </w:p>
  </w:footnote>
  <w:footnote w:id="10">
    <w:p w:rsidR="0020731B" w:rsidRDefault="0020731B" w:rsidP="0020731B">
      <w:pPr>
        <w:pStyle w:val="Notedebasdepage"/>
        <w:bidi/>
        <w:rPr>
          <w:rtl/>
          <w:lang w:bidi="ar-AE"/>
        </w:rPr>
      </w:pPr>
      <w:r>
        <w:rPr>
          <w:rStyle w:val="Appelnotedebasdep"/>
        </w:rPr>
        <w:footnoteRef/>
      </w:r>
      <w:r>
        <w:t xml:space="preserve"> </w:t>
      </w:r>
      <w:r>
        <w:rPr>
          <w:rtl/>
        </w:rPr>
        <w:t>المقاييس، ص43.</w:t>
      </w:r>
    </w:p>
  </w:footnote>
  <w:footnote w:id="11">
    <w:p w:rsidR="0020731B" w:rsidRDefault="0020731B" w:rsidP="0020731B">
      <w:pPr>
        <w:pStyle w:val="Notedebasdepage"/>
        <w:bidi/>
        <w:rPr>
          <w:rtl/>
          <w:lang w:bidi="ar-AE"/>
        </w:rPr>
      </w:pPr>
      <w:r>
        <w:rPr>
          <w:rStyle w:val="Appelnotedebasdep"/>
        </w:rPr>
        <w:footnoteRef/>
      </w:r>
      <w:r>
        <w:t xml:space="preserve"> </w:t>
      </w:r>
      <w:r>
        <w:rPr>
          <w:rtl/>
        </w:rPr>
        <w:t xml:space="preserve"> المقاييس، ص ن.</w:t>
      </w:r>
    </w:p>
  </w:footnote>
  <w:footnote w:id="12">
    <w:p w:rsidR="0020731B" w:rsidRDefault="0020731B" w:rsidP="0020731B">
      <w:pPr>
        <w:pStyle w:val="Notedebasdepage"/>
        <w:bidi/>
        <w:rPr>
          <w:rtl/>
          <w:lang w:bidi="ar-AE"/>
        </w:rPr>
      </w:pPr>
      <w:r>
        <w:rPr>
          <w:rStyle w:val="Appelnotedebasdep"/>
        </w:rPr>
        <w:footnoteRef/>
      </w:r>
      <w:r>
        <w:t xml:space="preserve"> </w:t>
      </w:r>
      <w:r>
        <w:rPr>
          <w:rtl/>
        </w:rPr>
        <w:t xml:space="preserve"> أحمد مختار عمر، مرجع سابق، ص212.</w:t>
      </w:r>
    </w:p>
  </w:footnote>
  <w:footnote w:id="13">
    <w:p w:rsidR="0020731B" w:rsidRDefault="0020731B" w:rsidP="0020731B">
      <w:pPr>
        <w:pStyle w:val="Notedebasdepage"/>
        <w:bidi/>
        <w:rPr>
          <w:rtl/>
          <w:lang w:bidi="ar-AE"/>
        </w:rPr>
      </w:pPr>
      <w:r>
        <w:rPr>
          <w:rStyle w:val="Appelnotedebasdep"/>
        </w:rPr>
        <w:footnoteRef/>
      </w:r>
      <w:r>
        <w:t xml:space="preserve"> </w:t>
      </w:r>
      <w:r>
        <w:rPr>
          <w:rtl/>
        </w:rPr>
        <w:t xml:space="preserve"> عز الدين إسماعيل، المصادر الأدبية، مرجع سابق، ص278.</w:t>
      </w:r>
    </w:p>
  </w:footnote>
  <w:footnote w:id="14">
    <w:p w:rsidR="0020731B" w:rsidRDefault="0020731B" w:rsidP="0020731B">
      <w:pPr>
        <w:pStyle w:val="Notedebasdepage"/>
        <w:bidi/>
        <w:rPr>
          <w:rtl/>
          <w:lang w:bidi="ar-AE"/>
        </w:rPr>
      </w:pPr>
      <w:r>
        <w:rPr>
          <w:rStyle w:val="Appelnotedebasdep"/>
        </w:rPr>
        <w:footnoteRef/>
      </w:r>
      <w:r>
        <w:t xml:space="preserve"> </w:t>
      </w:r>
      <w:r>
        <w:rPr>
          <w:rtl/>
        </w:rPr>
        <w:t xml:space="preserve"> المقاييس، ص 299.</w:t>
      </w:r>
    </w:p>
  </w:footnote>
  <w:footnote w:id="15">
    <w:p w:rsidR="0020731B" w:rsidRDefault="0020731B" w:rsidP="0020731B">
      <w:pPr>
        <w:pStyle w:val="Notedebasdepage"/>
        <w:bidi/>
        <w:rPr>
          <w:rtl/>
          <w:lang w:bidi="ar-AE"/>
        </w:rPr>
      </w:pPr>
      <w:r>
        <w:rPr>
          <w:rStyle w:val="Appelnotedebasdep"/>
        </w:rPr>
        <w:footnoteRef/>
      </w:r>
      <w:r>
        <w:t xml:space="preserve"> </w:t>
      </w:r>
      <w:r>
        <w:rPr>
          <w:rtl/>
        </w:rPr>
        <w:t xml:space="preserve"> المقاييس، ص421، 422.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254"/>
    <w:multiLevelType w:val="hybridMultilevel"/>
    <w:tmpl w:val="1A8265C2"/>
    <w:lvl w:ilvl="0" w:tplc="1214F1D4">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759075EB"/>
    <w:multiLevelType w:val="hybridMultilevel"/>
    <w:tmpl w:val="8556D356"/>
    <w:lvl w:ilvl="0" w:tplc="4AE48C80">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0731B"/>
    <w:rsid w:val="0020731B"/>
    <w:rsid w:val="00A46016"/>
    <w:rsid w:val="00AC4C6E"/>
    <w:rsid w:val="00C01286"/>
    <w:rsid w:val="00EB3C5A"/>
    <w:rsid w:val="00FA28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3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073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731B"/>
    <w:rPr>
      <w:sz w:val="20"/>
      <w:szCs w:val="20"/>
    </w:rPr>
  </w:style>
  <w:style w:type="paragraph" w:styleId="Paragraphedeliste">
    <w:name w:val="List Paragraph"/>
    <w:basedOn w:val="Normal"/>
    <w:uiPriority w:val="34"/>
    <w:qFormat/>
    <w:rsid w:val="0020731B"/>
    <w:pPr>
      <w:ind w:left="720"/>
      <w:contextualSpacing/>
    </w:pPr>
  </w:style>
  <w:style w:type="character" w:styleId="Appelnotedebasdep">
    <w:name w:val="footnote reference"/>
    <w:basedOn w:val="Policepardfaut"/>
    <w:uiPriority w:val="99"/>
    <w:semiHidden/>
    <w:unhideWhenUsed/>
    <w:rsid w:val="0020731B"/>
    <w:rPr>
      <w:vertAlign w:val="superscript"/>
    </w:rPr>
  </w:style>
  <w:style w:type="paragraph" w:styleId="En-tte">
    <w:name w:val="header"/>
    <w:basedOn w:val="Normal"/>
    <w:link w:val="En-tteCar"/>
    <w:uiPriority w:val="99"/>
    <w:semiHidden/>
    <w:unhideWhenUsed/>
    <w:rsid w:val="0020731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731B"/>
  </w:style>
  <w:style w:type="paragraph" w:styleId="Pieddepage">
    <w:name w:val="footer"/>
    <w:basedOn w:val="Normal"/>
    <w:link w:val="PieddepageCar"/>
    <w:uiPriority w:val="99"/>
    <w:unhideWhenUsed/>
    <w:rsid w:val="002073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31B"/>
  </w:style>
</w:styles>
</file>

<file path=word/webSettings.xml><?xml version="1.0" encoding="utf-8"?>
<w:webSettings xmlns:r="http://schemas.openxmlformats.org/officeDocument/2006/relationships" xmlns:w="http://schemas.openxmlformats.org/wordprocessingml/2006/main">
  <w:divs>
    <w:div w:id="4955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9B3C-7FBA-466D-B237-B6657A48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1338</Words>
  <Characters>7360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ECS</cp:lastModifiedBy>
  <cp:revision>4</cp:revision>
  <dcterms:created xsi:type="dcterms:W3CDTF">2026-04-11T21:33:00Z</dcterms:created>
  <dcterms:modified xsi:type="dcterms:W3CDTF">2026-04-11T21:36:00Z</dcterms:modified>
</cp:coreProperties>
</file>