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02B" w:rsidRDefault="0046002B" w:rsidP="0046002B">
      <w:pPr>
        <w:pStyle w:val="Paragraphedeliste"/>
        <w:bidi/>
        <w:jc w:val="both"/>
        <w:rPr>
          <w:b/>
          <w:bCs/>
          <w:sz w:val="32"/>
          <w:szCs w:val="32"/>
          <w:lang w:bidi="ar-AE"/>
        </w:rPr>
      </w:pPr>
      <w:r>
        <w:rPr>
          <w:b/>
          <w:bCs/>
          <w:sz w:val="32"/>
          <w:szCs w:val="32"/>
          <w:rtl/>
          <w:lang w:bidi="ar-AE"/>
        </w:rPr>
        <w:t>المحاضرة التاسعة: المجاميع الأدبية القديمة</w:t>
      </w:r>
    </w:p>
    <w:p w:rsidR="0046002B" w:rsidRDefault="0046002B" w:rsidP="0046002B">
      <w:pPr>
        <w:pStyle w:val="Paragraphedeliste"/>
        <w:bidi/>
        <w:jc w:val="both"/>
        <w:rPr>
          <w:b/>
          <w:bCs/>
          <w:sz w:val="32"/>
          <w:szCs w:val="32"/>
          <w:rtl/>
          <w:lang w:bidi="ar-AE"/>
        </w:rPr>
      </w:pPr>
      <w:r>
        <w:rPr>
          <w:b/>
          <w:bCs/>
          <w:sz w:val="32"/>
          <w:szCs w:val="32"/>
          <w:rtl/>
          <w:lang w:bidi="ar-AE"/>
        </w:rPr>
        <w:t>العقد الفريد لابن عبد ربه</w:t>
      </w:r>
    </w:p>
    <w:p w:rsidR="0046002B" w:rsidRDefault="0046002B" w:rsidP="0046002B">
      <w:pPr>
        <w:pStyle w:val="Paragraphedeliste"/>
        <w:bidi/>
        <w:jc w:val="both"/>
        <w:rPr>
          <w:b/>
          <w:bCs/>
          <w:sz w:val="32"/>
          <w:szCs w:val="32"/>
          <w:rtl/>
          <w:lang w:bidi="ar-AE"/>
        </w:rPr>
      </w:pPr>
      <w:r>
        <w:rPr>
          <w:b/>
          <w:bCs/>
          <w:sz w:val="32"/>
          <w:szCs w:val="32"/>
          <w:rtl/>
          <w:lang w:bidi="ar-AE"/>
        </w:rPr>
        <w:t>1-التعريف بصاحب الكتاب:</w:t>
      </w:r>
    </w:p>
    <w:p w:rsidR="0046002B" w:rsidRDefault="0046002B" w:rsidP="0046002B">
      <w:pPr>
        <w:pStyle w:val="Paragraphedeliste"/>
        <w:bidi/>
        <w:jc w:val="both"/>
        <w:rPr>
          <w:sz w:val="32"/>
          <w:szCs w:val="32"/>
          <w:rtl/>
          <w:lang w:bidi="ar-AE"/>
        </w:rPr>
      </w:pPr>
      <w:r>
        <w:rPr>
          <w:sz w:val="32"/>
          <w:szCs w:val="32"/>
          <w:rtl/>
          <w:lang w:bidi="ar-AE"/>
        </w:rPr>
        <w:t>هو أبو عمر شهاب الدين أحمد بن محمد بن عبد ربه بن حبيب بن حدير بن سالم القرطبي، الذي كان مولى لهشام بن عبد الرحمن بن معاوية بن هشام بن عبد الملك بن مروان. ولد في مدينة قرطبة بالأندلس في العاشر من شهر رمضان 246ه الموافق للتاسع والعشرين من شهر نوفمبر سنة 860م، وتوفي سنة 328ه وهو ابن إحدى وثمانين سنة، فقد ولد في قرطبة، وبها نشأ، ومن ثقافتها نهل، درس الشائع في عصره من أدب وتاريخ ولغة، وفقه وتفسير وحديث، وكان من أساتذته: محمد بن وضاح، ومحمد بن الحارث الخشني المؤرخ والأديب والفقيه الأندلسي الكبير.</w:t>
      </w:r>
    </w:p>
    <w:p w:rsidR="0046002B" w:rsidRDefault="0046002B" w:rsidP="0046002B">
      <w:pPr>
        <w:pStyle w:val="Paragraphedeliste"/>
        <w:bidi/>
        <w:jc w:val="both"/>
        <w:rPr>
          <w:sz w:val="32"/>
          <w:szCs w:val="32"/>
          <w:rtl/>
          <w:lang w:bidi="ar-AE"/>
        </w:rPr>
      </w:pPr>
    </w:p>
    <w:p w:rsidR="0046002B" w:rsidRDefault="0046002B" w:rsidP="0046002B">
      <w:pPr>
        <w:pStyle w:val="Paragraphedeliste"/>
        <w:bidi/>
        <w:jc w:val="both"/>
        <w:rPr>
          <w:sz w:val="32"/>
          <w:szCs w:val="32"/>
          <w:rtl/>
          <w:lang w:bidi="ar-AE"/>
        </w:rPr>
      </w:pPr>
      <w:r>
        <w:rPr>
          <w:b/>
          <w:bCs/>
          <w:sz w:val="32"/>
          <w:szCs w:val="32"/>
          <w:rtl/>
          <w:lang w:bidi="ar-AE"/>
        </w:rPr>
        <w:t>2-سبب تسميته بالعقد الفريد:</w:t>
      </w:r>
      <w:r>
        <w:rPr>
          <w:sz w:val="32"/>
          <w:szCs w:val="32"/>
          <w:rtl/>
          <w:lang w:bidi="ar-AE"/>
        </w:rPr>
        <w:t xml:space="preserve"> تحدّث ابن عبد ربه عن سبب تسميته بهذا الاسم، فقال: "وسمّيته كتاب العقد الفريد لما فيه من مختلف جواهر الكلام، مع دقّة المسلك وحسن النظام"، وقد اعتمد في تأليفه واختياره لموضوعاته وأخباره على مصادر كثيرة، منها "ما هو ديني كالقرآن الكريم والإنجيل والتوراة، والحديث النبوي الشريف، ومنها ما هو أدبي وتاريخي، كعيون الأخبار، والمعارف لابن قتيبة، والحيوان، والبخلاء، والبيان والتبيين للجاحظ، والكامل للمبرّد، وكليلة ودمنة والأدب الكبير والصغير لابن المقفع، والأمالي لأبي عليّ القالي، ودواوين شعراء كثيرة لشعراء جاهليين وإسلاميين، وغير ذلك من الكتب التي تناولتها يداه"</w:t>
      </w:r>
      <w:r>
        <w:rPr>
          <w:rStyle w:val="Appelnotedebasdep"/>
          <w:sz w:val="32"/>
          <w:szCs w:val="32"/>
          <w:rtl/>
          <w:lang w:bidi="ar-AE"/>
        </w:rPr>
        <w:footnoteReference w:id="2"/>
      </w:r>
      <w:r>
        <w:rPr>
          <w:sz w:val="32"/>
          <w:szCs w:val="32"/>
          <w:rtl/>
          <w:lang w:bidi="ar-AE"/>
        </w:rPr>
        <w:t>.</w:t>
      </w:r>
    </w:p>
    <w:p w:rsidR="0046002B" w:rsidRDefault="0046002B" w:rsidP="0046002B">
      <w:pPr>
        <w:pStyle w:val="Paragraphedeliste"/>
        <w:bidi/>
        <w:jc w:val="both"/>
        <w:rPr>
          <w:sz w:val="32"/>
          <w:szCs w:val="32"/>
          <w:rtl/>
          <w:lang w:bidi="ar-AE"/>
        </w:rPr>
      </w:pPr>
      <w:r>
        <w:rPr>
          <w:sz w:val="32"/>
          <w:szCs w:val="32"/>
          <w:rtl/>
          <w:lang w:bidi="ar-AE"/>
        </w:rPr>
        <w:t>منهجه في التأليف: وقد اشتهر ابن عبد ربه بكتابه "العقد الفريد"، وقد قسّمه إلى "خمسة وعشرين كتابا، في خمسة وعشرين فنا، ثمّ تصوّره عقدا مؤلفا من خمس وعشرين جوهرة كريمة، اثنتا عشرة في جانب، واثنتا عشرة في جانب أخرى في جانب، وجعل للعقد واسطة، لكنه لم يسمّ إلّا الانثنتي عشرة الأولى، فلؤلؤة، وفريدة، وزبرجدة، وجمانة، ومرجانة، وياقوقة، وجوهرة، وزمردة، ودرة، ويتيمة، وعسجدة، ومجنبة، أما  الاثنتا عشرة التي في الجانب الآخر فهي هذه الأسماء مكرّرة، فاللؤلؤة الثانية، والفريدة الثانية..."</w:t>
      </w:r>
      <w:r>
        <w:rPr>
          <w:rStyle w:val="Appelnotedebasdep"/>
          <w:sz w:val="32"/>
          <w:szCs w:val="32"/>
          <w:rtl/>
          <w:lang w:bidi="ar-AE"/>
        </w:rPr>
        <w:footnoteReference w:id="3"/>
      </w:r>
      <w:r>
        <w:rPr>
          <w:sz w:val="32"/>
          <w:szCs w:val="32"/>
          <w:rtl/>
          <w:lang w:bidi="ar-AE"/>
        </w:rPr>
        <w:t>.</w:t>
      </w:r>
    </w:p>
    <w:p w:rsidR="0046002B" w:rsidRDefault="0046002B" w:rsidP="0046002B">
      <w:pPr>
        <w:pStyle w:val="Paragraphedeliste"/>
        <w:bidi/>
        <w:jc w:val="both"/>
        <w:rPr>
          <w:sz w:val="32"/>
          <w:szCs w:val="32"/>
          <w:rtl/>
          <w:lang w:bidi="ar-AE"/>
        </w:rPr>
      </w:pPr>
    </w:p>
    <w:p w:rsidR="0046002B" w:rsidRDefault="0046002B" w:rsidP="0046002B">
      <w:pPr>
        <w:pStyle w:val="Paragraphedeliste"/>
        <w:bidi/>
        <w:jc w:val="both"/>
        <w:rPr>
          <w:sz w:val="32"/>
          <w:szCs w:val="32"/>
          <w:rtl/>
          <w:lang w:bidi="ar-AE"/>
        </w:rPr>
      </w:pPr>
      <w:r>
        <w:rPr>
          <w:b/>
          <w:bCs/>
          <w:sz w:val="32"/>
          <w:szCs w:val="32"/>
          <w:rtl/>
          <w:lang w:bidi="ar-AE"/>
        </w:rPr>
        <w:lastRenderedPageBreak/>
        <w:t xml:space="preserve">3-موضوعات الكتاب: </w:t>
      </w:r>
      <w:r>
        <w:rPr>
          <w:sz w:val="32"/>
          <w:szCs w:val="32"/>
          <w:rtl/>
          <w:lang w:bidi="ar-AE"/>
        </w:rPr>
        <w:t>نلخص موضوعات الكتاب في هذا الجدول</w:t>
      </w:r>
    </w:p>
    <w:p w:rsidR="0046002B" w:rsidRDefault="0046002B" w:rsidP="0046002B">
      <w:pPr>
        <w:bidi/>
        <w:ind w:left="360"/>
        <w:jc w:val="both"/>
        <w:rPr>
          <w:sz w:val="32"/>
          <w:szCs w:val="32"/>
          <w:rtl/>
          <w:lang w:bidi="ar-AE"/>
        </w:rPr>
      </w:pPr>
    </w:p>
    <w:tbl>
      <w:tblPr>
        <w:tblStyle w:val="Grilledutableau"/>
        <w:bidiVisual/>
        <w:tblW w:w="0" w:type="auto"/>
        <w:tblInd w:w="0" w:type="dxa"/>
        <w:tblLook w:val="04A0"/>
      </w:tblPr>
      <w:tblGrid>
        <w:gridCol w:w="4603"/>
        <w:gridCol w:w="4609"/>
        <w:gridCol w:w="38"/>
      </w:tblGrid>
      <w:tr w:rsidR="0046002B" w:rsidTr="0046002B">
        <w:trPr>
          <w:gridAfter w:val="1"/>
          <w:wAfter w:w="38" w:type="dxa"/>
        </w:trPr>
        <w:tc>
          <w:tcPr>
            <w:tcW w:w="4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jc w:val="center"/>
              <w:rPr>
                <w:sz w:val="32"/>
                <w:szCs w:val="32"/>
                <w:lang w:bidi="ar-AE"/>
              </w:rPr>
            </w:pPr>
            <w:r>
              <w:rPr>
                <w:sz w:val="32"/>
                <w:szCs w:val="32"/>
                <w:rtl/>
                <w:lang w:bidi="ar-AE"/>
              </w:rPr>
              <w:t>الجانب الأول من الكتاب</w:t>
            </w:r>
          </w:p>
        </w:tc>
        <w:tc>
          <w:tcPr>
            <w:tcW w:w="46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jc w:val="center"/>
              <w:rPr>
                <w:sz w:val="32"/>
                <w:szCs w:val="32"/>
                <w:lang w:bidi="ar-AE"/>
              </w:rPr>
            </w:pPr>
            <w:r>
              <w:rPr>
                <w:sz w:val="32"/>
                <w:szCs w:val="32"/>
                <w:rtl/>
                <w:lang w:bidi="ar-AE"/>
              </w:rPr>
              <w:t>الجانب الثاني من الكتاب</w:t>
            </w:r>
          </w:p>
        </w:tc>
      </w:tr>
      <w:tr w:rsidR="0046002B" w:rsidTr="0046002B">
        <w:trPr>
          <w:gridAfter w:val="1"/>
          <w:wAfter w:w="38" w:type="dxa"/>
        </w:trPr>
        <w:tc>
          <w:tcPr>
            <w:tcW w:w="4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1-اللؤلؤة في السلطان</w:t>
            </w:r>
          </w:p>
        </w:tc>
        <w:tc>
          <w:tcPr>
            <w:tcW w:w="46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6002B" w:rsidRDefault="0046002B" w:rsidP="0046002B">
            <w:pPr>
              <w:bidi/>
              <w:rPr>
                <w:sz w:val="32"/>
                <w:szCs w:val="32"/>
                <w:lang w:bidi="ar-AE"/>
              </w:rPr>
            </w:pPr>
            <w:r>
              <w:rPr>
                <w:sz w:val="32"/>
                <w:szCs w:val="32"/>
                <w:rtl/>
                <w:lang w:bidi="ar-AE"/>
              </w:rPr>
              <w:t>25-اللؤلؤة الثانية في النتف والهدايا والفكاهات</w:t>
            </w:r>
          </w:p>
        </w:tc>
      </w:tr>
      <w:tr w:rsidR="0046002B" w:rsidTr="0046002B">
        <w:tc>
          <w:tcPr>
            <w:tcW w:w="4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2-الفريدة في الحروب ومدار أمرها</w:t>
            </w:r>
          </w:p>
        </w:tc>
        <w:tc>
          <w:tcPr>
            <w:tcW w:w="464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24-الفريدة الثانية في الطعام</w:t>
            </w:r>
          </w:p>
        </w:tc>
      </w:tr>
      <w:tr w:rsidR="0046002B" w:rsidTr="0046002B">
        <w:tc>
          <w:tcPr>
            <w:tcW w:w="4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3-الزبرجدة في الأجواء والأصفاء</w:t>
            </w:r>
          </w:p>
        </w:tc>
        <w:tc>
          <w:tcPr>
            <w:tcW w:w="464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23-الزبرجدة الثانية في بيان طبائع الإنسان وسائر الحيوان وتفاضل البلدان</w:t>
            </w:r>
          </w:p>
        </w:tc>
      </w:tr>
      <w:tr w:rsidR="0046002B" w:rsidTr="0046002B">
        <w:tc>
          <w:tcPr>
            <w:tcW w:w="4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4-الجمانة في الوفود</w:t>
            </w:r>
          </w:p>
        </w:tc>
        <w:tc>
          <w:tcPr>
            <w:tcW w:w="464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22-الجمانة الثانية في المتنيئين والممرودين والبخلاء والطفليين</w:t>
            </w:r>
          </w:p>
        </w:tc>
      </w:tr>
      <w:tr w:rsidR="0046002B" w:rsidTr="0046002B">
        <w:tc>
          <w:tcPr>
            <w:tcW w:w="4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5-المرجانة في مخاطبة الملوك</w:t>
            </w:r>
          </w:p>
        </w:tc>
        <w:tc>
          <w:tcPr>
            <w:tcW w:w="464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21-المرجانة الثانية في النساء وصفاتهن</w:t>
            </w:r>
          </w:p>
        </w:tc>
      </w:tr>
      <w:tr w:rsidR="0046002B" w:rsidTr="0046002B">
        <w:tc>
          <w:tcPr>
            <w:tcW w:w="4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6-الياقوتة في العلم والأدب</w:t>
            </w:r>
          </w:p>
        </w:tc>
        <w:tc>
          <w:tcPr>
            <w:tcW w:w="464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20-الياقوتة الثانية في النساء وصفاتهن</w:t>
            </w:r>
          </w:p>
        </w:tc>
      </w:tr>
      <w:tr w:rsidR="0046002B" w:rsidTr="0046002B">
        <w:tc>
          <w:tcPr>
            <w:tcW w:w="4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7-الجوهرة في الأمثال</w:t>
            </w:r>
          </w:p>
        </w:tc>
        <w:tc>
          <w:tcPr>
            <w:tcW w:w="464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19-الجوهرة الثانية في أعاريض الشعر وعلل القوافي</w:t>
            </w:r>
          </w:p>
        </w:tc>
      </w:tr>
      <w:tr w:rsidR="0046002B" w:rsidTr="0046002B">
        <w:tc>
          <w:tcPr>
            <w:tcW w:w="4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8-الزمردة في المواعظ والزهد</w:t>
            </w:r>
          </w:p>
        </w:tc>
        <w:tc>
          <w:tcPr>
            <w:tcW w:w="464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18-الزمردة الثانية في فضائل الشعر ومقاطعه ومخارجه</w:t>
            </w:r>
          </w:p>
        </w:tc>
      </w:tr>
      <w:tr w:rsidR="0046002B" w:rsidTr="0046002B">
        <w:tc>
          <w:tcPr>
            <w:tcW w:w="4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9- الدرر في التعازي والمراثي</w:t>
            </w:r>
          </w:p>
        </w:tc>
        <w:tc>
          <w:tcPr>
            <w:tcW w:w="464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17-الدرة الثانية في أيام العرب ووقائعهم</w:t>
            </w:r>
          </w:p>
        </w:tc>
      </w:tr>
      <w:tr w:rsidR="0046002B" w:rsidTr="0046002B">
        <w:tc>
          <w:tcPr>
            <w:tcW w:w="4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10-اليتيمة في النسب وفضائل العرب</w:t>
            </w:r>
          </w:p>
        </w:tc>
        <w:tc>
          <w:tcPr>
            <w:tcW w:w="464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16-اليتيمة الثانية في أخبار زياد والحجاج والطالبيين والبرامكة</w:t>
            </w:r>
          </w:p>
        </w:tc>
      </w:tr>
      <w:tr w:rsidR="0046002B" w:rsidTr="0046002B">
        <w:tc>
          <w:tcPr>
            <w:tcW w:w="4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11-العسجدة في كلام الأعراب</w:t>
            </w:r>
          </w:p>
        </w:tc>
        <w:tc>
          <w:tcPr>
            <w:tcW w:w="464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15-العسجدة الثانية في الخلفاء وتواريخم وأيامهم</w:t>
            </w:r>
          </w:p>
        </w:tc>
      </w:tr>
      <w:tr w:rsidR="0046002B" w:rsidTr="0046002B">
        <w:tc>
          <w:tcPr>
            <w:tcW w:w="4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rtl/>
                <w:lang w:bidi="ar-AE"/>
              </w:rPr>
            </w:pPr>
            <w:r>
              <w:rPr>
                <w:sz w:val="32"/>
                <w:szCs w:val="32"/>
                <w:rtl/>
                <w:lang w:bidi="ar-AE"/>
              </w:rPr>
              <w:t>12-المجنبة في الأجوبة</w:t>
            </w:r>
          </w:p>
          <w:p w:rsidR="0046002B" w:rsidRDefault="0046002B">
            <w:pPr>
              <w:bidi/>
              <w:rPr>
                <w:sz w:val="32"/>
                <w:szCs w:val="32"/>
                <w:lang w:bidi="ar-AE"/>
              </w:rPr>
            </w:pPr>
            <w:r>
              <w:rPr>
                <w:sz w:val="32"/>
                <w:szCs w:val="32"/>
                <w:rtl/>
                <w:lang w:bidi="ar-AE"/>
              </w:rPr>
              <w:t>13-الواسطة</w:t>
            </w:r>
          </w:p>
        </w:tc>
        <w:tc>
          <w:tcPr>
            <w:tcW w:w="464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6002B" w:rsidRDefault="0046002B">
            <w:pPr>
              <w:bidi/>
              <w:rPr>
                <w:sz w:val="32"/>
                <w:szCs w:val="32"/>
                <w:lang w:bidi="ar-AE"/>
              </w:rPr>
            </w:pPr>
            <w:r>
              <w:rPr>
                <w:sz w:val="32"/>
                <w:szCs w:val="32"/>
                <w:rtl/>
                <w:lang w:bidi="ar-AE"/>
              </w:rPr>
              <w:t>14-المجنبة الثانية في التوقيعات والفصول وأخبار المكتبة</w:t>
            </w:r>
          </w:p>
        </w:tc>
      </w:tr>
    </w:tbl>
    <w:p w:rsidR="0046002B" w:rsidRDefault="0046002B" w:rsidP="0046002B">
      <w:pPr>
        <w:bidi/>
        <w:ind w:right="-142"/>
        <w:jc w:val="both"/>
        <w:rPr>
          <w:sz w:val="32"/>
          <w:szCs w:val="32"/>
          <w:lang w:bidi="ar-AE"/>
        </w:rPr>
      </w:pPr>
    </w:p>
    <w:p w:rsidR="0046002B" w:rsidRDefault="0046002B" w:rsidP="0046002B">
      <w:pPr>
        <w:bidi/>
        <w:ind w:right="-142"/>
        <w:jc w:val="both"/>
        <w:rPr>
          <w:sz w:val="32"/>
          <w:szCs w:val="32"/>
          <w:rtl/>
          <w:lang w:bidi="ar-AE"/>
        </w:rPr>
      </w:pPr>
      <w:r>
        <w:rPr>
          <w:sz w:val="32"/>
          <w:szCs w:val="32"/>
          <w:rtl/>
          <w:lang w:bidi="ar-AE"/>
        </w:rPr>
        <w:t>وقد انفرد ابن عبد ربه بهذا النظام الذي يدلّ على ابتكار من وحي شاعر، وإن كانت الموضوعات التي تناولها سُبقَ إليها في كتاب عيون الأخبار لابن قتيبه، فله كتاب السلطان، وكتاب الحرب، وكتاب السؤدد، وكتاب الطبائع والأخلاق، وكتاب العلم، وكتاب الزهد، وكتاب الإخوان، وكتاب الحوائج، وكتاب الطعام، وكتاب النساء.</w:t>
      </w:r>
    </w:p>
    <w:p w:rsidR="0046002B" w:rsidRDefault="0046002B" w:rsidP="0046002B">
      <w:pPr>
        <w:bidi/>
        <w:ind w:right="-142"/>
        <w:jc w:val="both"/>
        <w:rPr>
          <w:sz w:val="32"/>
          <w:szCs w:val="32"/>
          <w:rtl/>
          <w:lang w:bidi="ar-AE"/>
        </w:rPr>
      </w:pPr>
      <w:r>
        <w:rPr>
          <w:sz w:val="32"/>
          <w:szCs w:val="32"/>
          <w:rtl/>
          <w:lang w:bidi="ar-AE"/>
        </w:rPr>
        <w:t xml:space="preserve">فقد حذا ابن ربه حذو ابن قتيبة ، فألف في موضوعاته وأضاف إليه، كما استفاد من كتب أخرى كانت قد ظهرت في المشرق ووصبت إلى المغرب، ولهذا فقد علق الصاحب بن عباد على الكتاب بقوله: "هذه بضاعتنا رُدّت إلينا، ظننت أنّ هذا الكتاب يشتمل على كلّ شيء من أخبار بلادهم، وإنّما هو يشتمل على أخبار بلادنا". ورغم هذا فإنّ كتاب العقد الفريد "يعدّ </w:t>
      </w:r>
      <w:r>
        <w:rPr>
          <w:sz w:val="32"/>
          <w:szCs w:val="32"/>
          <w:rtl/>
          <w:lang w:bidi="ar-AE"/>
        </w:rPr>
        <w:lastRenderedPageBreak/>
        <w:t>مصدرا مهما من مصادر التراث العربي، ولا يقلّ قيمة عن الكتب التي سبقته، بل إنّه حقا يتميّز عنها بوفرة المادة التي استقاها ابن عبد ربه من مصادر عدّة، وبتنوّع الموضوعات"</w:t>
      </w:r>
      <w:r>
        <w:rPr>
          <w:rStyle w:val="Appelnotedebasdep"/>
          <w:sz w:val="32"/>
          <w:szCs w:val="32"/>
          <w:rtl/>
          <w:lang w:bidi="ar-AE"/>
        </w:rPr>
        <w:footnoteReference w:id="4"/>
      </w:r>
      <w:r>
        <w:rPr>
          <w:sz w:val="32"/>
          <w:szCs w:val="32"/>
          <w:rtl/>
          <w:lang w:bidi="ar-AE"/>
        </w:rPr>
        <w:t>، بل إنه يعتبر واحدا من المصادر الهامة لتأريخ الحياة العربية بجوانبها المختلفة، سياسية واجتماعية ثقافية، فهو يضم في صفحاته مادة وافرة من الأخبار والقصص والوثائق، التي تعين على تصوّر حركة تطور المجتمع العربي.</w:t>
      </w:r>
    </w:p>
    <w:p w:rsidR="0046002B" w:rsidRDefault="0046002B" w:rsidP="0046002B">
      <w:pPr>
        <w:bidi/>
        <w:ind w:right="-142"/>
        <w:jc w:val="both"/>
        <w:rPr>
          <w:sz w:val="32"/>
          <w:szCs w:val="32"/>
          <w:rtl/>
          <w:lang w:bidi="ar-AE"/>
        </w:rPr>
      </w:pPr>
    </w:p>
    <w:p w:rsidR="0046002B" w:rsidRDefault="0046002B" w:rsidP="0046002B">
      <w:pPr>
        <w:bidi/>
        <w:ind w:right="-142"/>
        <w:jc w:val="both"/>
        <w:rPr>
          <w:b/>
          <w:bCs/>
          <w:sz w:val="32"/>
          <w:szCs w:val="32"/>
          <w:rtl/>
          <w:lang w:bidi="ar-AE"/>
        </w:rPr>
      </w:pPr>
      <w:r>
        <w:rPr>
          <w:b/>
          <w:bCs/>
          <w:sz w:val="32"/>
          <w:szCs w:val="32"/>
          <w:rtl/>
          <w:lang w:bidi="ar-AE"/>
        </w:rPr>
        <w:t>نموذج من الكتاب:</w:t>
      </w:r>
    </w:p>
    <w:p w:rsidR="0046002B" w:rsidRDefault="0046002B" w:rsidP="0046002B">
      <w:pPr>
        <w:bidi/>
        <w:ind w:right="-142"/>
        <w:jc w:val="both"/>
        <w:rPr>
          <w:b/>
          <w:bCs/>
          <w:sz w:val="32"/>
          <w:szCs w:val="32"/>
          <w:rtl/>
          <w:lang w:bidi="ar-AE"/>
        </w:rPr>
      </w:pPr>
      <w:r>
        <w:rPr>
          <w:b/>
          <w:bCs/>
          <w:sz w:val="32"/>
          <w:szCs w:val="32"/>
          <w:rtl/>
          <w:lang w:bidi="ar-AE"/>
        </w:rPr>
        <w:t>كتاب الفريدة في الحروب ومدار أمرها</w:t>
      </w:r>
    </w:p>
    <w:p w:rsidR="0046002B" w:rsidRDefault="0046002B" w:rsidP="0046002B">
      <w:pPr>
        <w:bidi/>
        <w:ind w:right="-142"/>
        <w:jc w:val="both"/>
        <w:rPr>
          <w:b/>
          <w:bCs/>
          <w:sz w:val="32"/>
          <w:szCs w:val="32"/>
          <w:rtl/>
          <w:lang w:bidi="ar-AE"/>
        </w:rPr>
      </w:pPr>
      <w:r>
        <w:rPr>
          <w:b/>
          <w:bCs/>
          <w:sz w:val="32"/>
          <w:szCs w:val="32"/>
          <w:rtl/>
          <w:lang w:bidi="ar-AE"/>
        </w:rPr>
        <w:t>فرش كتاب الحروب</w:t>
      </w:r>
    </w:p>
    <w:p w:rsidR="0046002B" w:rsidRDefault="0046002B" w:rsidP="0046002B">
      <w:pPr>
        <w:bidi/>
        <w:ind w:right="-142"/>
        <w:jc w:val="both"/>
        <w:rPr>
          <w:sz w:val="32"/>
          <w:szCs w:val="32"/>
          <w:rtl/>
          <w:lang w:bidi="ar-AE"/>
        </w:rPr>
      </w:pPr>
      <w:r>
        <w:rPr>
          <w:sz w:val="32"/>
          <w:szCs w:val="32"/>
          <w:rtl/>
          <w:lang w:bidi="ar-AE"/>
        </w:rPr>
        <w:t>قال أبو عمرو أحمد بن محمد بن عبد ربه:</w:t>
      </w:r>
    </w:p>
    <w:p w:rsidR="0046002B" w:rsidRDefault="0046002B" w:rsidP="0046002B">
      <w:pPr>
        <w:bidi/>
        <w:ind w:right="-142"/>
        <w:jc w:val="both"/>
        <w:rPr>
          <w:sz w:val="32"/>
          <w:szCs w:val="32"/>
          <w:rtl/>
          <w:lang w:bidi="ar-AE"/>
        </w:rPr>
      </w:pPr>
      <w:r>
        <w:rPr>
          <w:sz w:val="32"/>
          <w:szCs w:val="32"/>
          <w:rtl/>
          <w:lang w:bidi="ar-AE"/>
        </w:rPr>
        <w:t>قد مضى قولنا في السلطان وتعظيمه وما على الرعية من لزوم طاعته وإدامة نصيحته وما على السلطان من العدل في رعيته والرفق بأهل مملكته، ونحن قائلون بعون الله وتوفيقه في الحروب ومدار أمرها، قَوْدَ الجيوش وتدبيرها، وما على المدبّر لها من أعمال الخدمة، وانتهاز الفرصة، والتماس الغِرّة، وإذكاء العيون، وإفشاء الطلائع، واجتناب المضايق، والتحفظ في البيات، هذا بعد معرفة أحكامها، وإحكام معرفته، وطول تجربته لها، ولمقاسات الحروب ومعاناة الجيوش، وعلمه أنّ لا درع كالصّبر، ولا حصن كاليقين، ثم نذكر كرضم الإقدام ومحمود عاقبته، ولؤم الفرار ومذموم مغبّته، والله المعين.</w:t>
      </w:r>
    </w:p>
    <w:p w:rsidR="0046002B" w:rsidRDefault="0046002B" w:rsidP="0046002B">
      <w:pPr>
        <w:bidi/>
        <w:ind w:right="-142"/>
        <w:jc w:val="both"/>
        <w:rPr>
          <w:b/>
          <w:bCs/>
          <w:sz w:val="32"/>
          <w:szCs w:val="32"/>
          <w:rtl/>
          <w:lang w:bidi="ar-AE"/>
        </w:rPr>
      </w:pPr>
      <w:r>
        <w:rPr>
          <w:b/>
          <w:bCs/>
          <w:sz w:val="32"/>
          <w:szCs w:val="32"/>
          <w:rtl/>
          <w:lang w:bidi="ar-AE"/>
        </w:rPr>
        <w:t>صفة الحروب:</w:t>
      </w:r>
    </w:p>
    <w:p w:rsidR="0046002B" w:rsidRDefault="0046002B" w:rsidP="0046002B">
      <w:pPr>
        <w:bidi/>
        <w:ind w:right="-142"/>
        <w:jc w:val="both"/>
        <w:rPr>
          <w:sz w:val="32"/>
          <w:szCs w:val="32"/>
          <w:rtl/>
          <w:lang w:bidi="ar-AE"/>
        </w:rPr>
      </w:pPr>
      <w:r>
        <w:rPr>
          <w:sz w:val="32"/>
          <w:szCs w:val="32"/>
          <w:rtl/>
          <w:lang w:bidi="ar-AE"/>
        </w:rPr>
        <w:t>الحرب رحًى، ثقالها الصبر؛ وقطبها المكر، ومدارها الاجتهاد، وثقافها الأناة، وزمامها الحذر، ولكلّ شيء من هذه ثمرة: فثمرة المكر الظفر، وثمرة الصبر الت؟أييد، وثمرة الاجتهاد التوفيق، وثمرة الأناة اليُمن، وثمرة الحذر السّلامة؛ ولكلّ مقام مقال، ولكلّ زمان رجال والحرب سجال، والرأي فيها: أبلغ من القتال.</w:t>
      </w:r>
    </w:p>
    <w:p w:rsidR="0046002B" w:rsidRDefault="0046002B" w:rsidP="0046002B">
      <w:pPr>
        <w:bidi/>
        <w:ind w:right="-142"/>
        <w:jc w:val="both"/>
        <w:rPr>
          <w:sz w:val="32"/>
          <w:szCs w:val="32"/>
          <w:rtl/>
          <w:lang w:bidi="ar-AE"/>
        </w:rPr>
      </w:pPr>
      <w:r>
        <w:rPr>
          <w:sz w:val="32"/>
          <w:szCs w:val="32"/>
          <w:rtl/>
          <w:lang w:bidi="ar-AE"/>
        </w:rPr>
        <w:t>قال عمر بن الخطاب لعمرو بن معد يكرب: صف لنا الحرب، قال: مرّة المذاق، إذا كشفت عن ساق؛ من صبر فيها عُرف، ومن نكل عنها تَلِفَ، ثم أنشأ يقول:</w:t>
      </w:r>
    </w:p>
    <w:p w:rsidR="0046002B" w:rsidRDefault="0046002B" w:rsidP="0046002B">
      <w:pPr>
        <w:bidi/>
        <w:ind w:right="-142"/>
        <w:jc w:val="both"/>
        <w:rPr>
          <w:sz w:val="32"/>
          <w:szCs w:val="32"/>
          <w:rtl/>
          <w:lang w:bidi="ar-AE"/>
        </w:rPr>
      </w:pPr>
      <w:r>
        <w:rPr>
          <w:sz w:val="32"/>
          <w:szCs w:val="32"/>
          <w:rtl/>
          <w:lang w:bidi="ar-AE"/>
        </w:rPr>
        <w:t>الحربُ أوّلُ ما تكون فثتَيّةً             تسهى بزينتها لكلّ جهولِ</w:t>
      </w:r>
    </w:p>
    <w:p w:rsidR="0046002B" w:rsidRDefault="0046002B" w:rsidP="0046002B">
      <w:pPr>
        <w:bidi/>
        <w:ind w:right="-142"/>
        <w:jc w:val="both"/>
        <w:rPr>
          <w:sz w:val="32"/>
          <w:szCs w:val="32"/>
          <w:rtl/>
          <w:lang w:bidi="ar-AE"/>
        </w:rPr>
      </w:pPr>
      <w:r>
        <w:rPr>
          <w:sz w:val="32"/>
          <w:szCs w:val="32"/>
          <w:rtl/>
          <w:lang w:bidi="ar-AE"/>
        </w:rPr>
        <w:t>حتّى إذا حمِيتْ وشبَّ ضِرامُها       عادت عجوزا غير دات خليل</w:t>
      </w:r>
    </w:p>
    <w:p w:rsidR="0046002B" w:rsidRDefault="0046002B" w:rsidP="0046002B">
      <w:pPr>
        <w:bidi/>
        <w:ind w:right="-142"/>
        <w:jc w:val="both"/>
        <w:rPr>
          <w:sz w:val="32"/>
          <w:szCs w:val="32"/>
          <w:rtl/>
          <w:lang w:bidi="ar-AE"/>
        </w:rPr>
      </w:pPr>
      <w:r>
        <w:rPr>
          <w:sz w:val="32"/>
          <w:szCs w:val="32"/>
          <w:rtl/>
          <w:lang w:bidi="ar-AE"/>
        </w:rPr>
        <w:lastRenderedPageBreak/>
        <w:t>شمطاءَ جرّتْ رأْسها وتنكّرتْ        مكروهةً للشّمِ والتقبيل</w:t>
      </w:r>
    </w:p>
    <w:p w:rsidR="0046002B" w:rsidRDefault="0046002B" w:rsidP="0046002B">
      <w:pPr>
        <w:bidi/>
        <w:ind w:right="-142"/>
        <w:jc w:val="both"/>
        <w:rPr>
          <w:sz w:val="32"/>
          <w:szCs w:val="32"/>
          <w:rtl/>
          <w:lang w:bidi="ar-AE"/>
        </w:rPr>
      </w:pPr>
    </w:p>
    <w:p w:rsidR="0046002B" w:rsidRDefault="0046002B" w:rsidP="0046002B">
      <w:pPr>
        <w:spacing w:after="0" w:line="240" w:lineRule="auto"/>
        <w:rPr>
          <w:rFonts w:ascii="Times New Roman" w:hAnsi="Times New Roman" w:cs="Times New Roman"/>
          <w:sz w:val="24"/>
          <w:szCs w:val="24"/>
          <w:rtl/>
          <w:lang w:eastAsia="fr-FR"/>
        </w:rPr>
      </w:pPr>
      <w:r>
        <w:rPr>
          <w:sz w:val="32"/>
          <w:szCs w:val="32"/>
          <w:rtl/>
          <w:lang w:bidi="ar-AE"/>
        </w:rPr>
        <w:t>وقيل لعنترة الفوارس: صِفْ لنا الحرب، فقال: أوّلها شكوى، وأوسطها نجوى، وآخرها بلوى</w:t>
      </w:r>
      <w:r>
        <w:rPr>
          <w:rFonts w:ascii="Times New Roman" w:hAnsi="Times New Roman" w:cs="Times New Roman"/>
          <w:sz w:val="24"/>
          <w:szCs w:val="24"/>
          <w:lang w:eastAsia="fr-FR"/>
        </w:rPr>
        <w:t xml:space="preserve"> </w:t>
      </w:r>
    </w:p>
    <w:p w:rsidR="00AB0288" w:rsidRDefault="00AB0288" w:rsidP="0046002B">
      <w:pPr>
        <w:bidi/>
      </w:pPr>
    </w:p>
    <w:sectPr w:rsidR="00AB0288" w:rsidSect="00AB0288">
      <w:foot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4293" w:rsidRDefault="00174293" w:rsidP="0046002B">
      <w:pPr>
        <w:spacing w:after="0" w:line="240" w:lineRule="auto"/>
      </w:pPr>
      <w:r>
        <w:separator/>
      </w:r>
    </w:p>
  </w:endnote>
  <w:endnote w:type="continuationSeparator" w:id="1">
    <w:p w:rsidR="00174293" w:rsidRDefault="00174293" w:rsidP="004600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2586752"/>
      <w:docPartObj>
        <w:docPartGallery w:val="Page Numbers (Bottom of Page)"/>
        <w:docPartUnique/>
      </w:docPartObj>
    </w:sdtPr>
    <w:sdtContent>
      <w:p w:rsidR="0046002B" w:rsidRDefault="0046002B">
        <w:pPr>
          <w:pStyle w:val="Pieddepage"/>
          <w:jc w:val="center"/>
        </w:pPr>
        <w:fldSimple w:instr=" PAGE   \* MERGEFORMAT ">
          <w:r>
            <w:rPr>
              <w:noProof/>
            </w:rPr>
            <w:t>3</w:t>
          </w:r>
        </w:fldSimple>
      </w:p>
    </w:sdtContent>
  </w:sdt>
  <w:p w:rsidR="0046002B" w:rsidRDefault="0046002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4293" w:rsidRDefault="00174293" w:rsidP="0046002B">
      <w:pPr>
        <w:spacing w:after="0" w:line="240" w:lineRule="auto"/>
      </w:pPr>
      <w:r>
        <w:separator/>
      </w:r>
    </w:p>
  </w:footnote>
  <w:footnote w:type="continuationSeparator" w:id="1">
    <w:p w:rsidR="00174293" w:rsidRDefault="00174293" w:rsidP="0046002B">
      <w:pPr>
        <w:spacing w:after="0" w:line="240" w:lineRule="auto"/>
      </w:pPr>
      <w:r>
        <w:continuationSeparator/>
      </w:r>
    </w:p>
  </w:footnote>
  <w:footnote w:id="2">
    <w:p w:rsidR="0046002B" w:rsidRDefault="0046002B" w:rsidP="0046002B">
      <w:pPr>
        <w:pStyle w:val="Notedebasdepage"/>
        <w:bidi/>
      </w:pPr>
      <w:r>
        <w:rPr>
          <w:rStyle w:val="Appelnotedebasdep"/>
        </w:rPr>
        <w:footnoteRef/>
      </w:r>
      <w:r>
        <w:t xml:space="preserve"> </w:t>
      </w:r>
      <w:r>
        <w:rPr>
          <w:rtl/>
        </w:rPr>
        <w:t xml:space="preserve"> أحمد بن محمد بن عبد ربه الأندلسي، العقد الفريد، تح: مفيد محمد قميحة، دار الكتب العلمية، بيروت، لبنان، ط1، ج1، 1989، ص ج.</w:t>
      </w:r>
    </w:p>
    <w:p w:rsidR="0046002B" w:rsidRDefault="0046002B" w:rsidP="0046002B">
      <w:pPr>
        <w:pStyle w:val="Notedebasdepage"/>
        <w:bidi/>
        <w:rPr>
          <w:rtl/>
        </w:rPr>
      </w:pPr>
    </w:p>
    <w:p w:rsidR="0046002B" w:rsidRDefault="0046002B" w:rsidP="0046002B">
      <w:pPr>
        <w:pStyle w:val="Notedebasdepage"/>
        <w:bidi/>
        <w:rPr>
          <w:rtl/>
        </w:rPr>
      </w:pPr>
    </w:p>
    <w:p w:rsidR="0046002B" w:rsidRDefault="0046002B" w:rsidP="0046002B">
      <w:pPr>
        <w:pStyle w:val="Notedebasdepage"/>
        <w:bidi/>
        <w:rPr>
          <w:rtl/>
        </w:rPr>
      </w:pPr>
    </w:p>
    <w:p w:rsidR="0046002B" w:rsidRDefault="0046002B" w:rsidP="0046002B">
      <w:pPr>
        <w:pStyle w:val="Notedebasdepage"/>
        <w:bidi/>
        <w:rPr>
          <w:rtl/>
        </w:rPr>
      </w:pPr>
    </w:p>
    <w:p w:rsidR="0046002B" w:rsidRDefault="0046002B" w:rsidP="0046002B">
      <w:pPr>
        <w:pStyle w:val="Notedebasdepage"/>
        <w:bidi/>
        <w:rPr>
          <w:rtl/>
        </w:rPr>
      </w:pPr>
    </w:p>
    <w:p w:rsidR="0046002B" w:rsidRDefault="0046002B" w:rsidP="0046002B">
      <w:pPr>
        <w:pStyle w:val="Notedebasdepage"/>
        <w:bidi/>
        <w:rPr>
          <w:rtl/>
          <w:lang w:bidi="ar-AE"/>
        </w:rPr>
      </w:pPr>
    </w:p>
  </w:footnote>
  <w:footnote w:id="3">
    <w:p w:rsidR="0046002B" w:rsidRDefault="0046002B" w:rsidP="0046002B">
      <w:pPr>
        <w:pStyle w:val="Notedebasdepage"/>
        <w:bidi/>
        <w:rPr>
          <w:rtl/>
          <w:lang w:bidi="ar-AE"/>
        </w:rPr>
      </w:pPr>
      <w:r>
        <w:rPr>
          <w:rStyle w:val="Appelnotedebasdep"/>
        </w:rPr>
        <w:footnoteRef/>
      </w:r>
      <w:r>
        <w:t xml:space="preserve"> </w:t>
      </w:r>
      <w:r>
        <w:rPr>
          <w:rtl/>
          <w:lang w:bidi="ar-AE"/>
        </w:rPr>
        <w:t xml:space="preserve"> أحمد الطاهر مكي، دراسة في مصادر الأدب، دار الفكر العربي، مصر، ط2، 1999، ص 284، 285.</w:t>
      </w:r>
    </w:p>
  </w:footnote>
  <w:footnote w:id="4">
    <w:p w:rsidR="0046002B" w:rsidRDefault="0046002B" w:rsidP="0046002B">
      <w:pPr>
        <w:pStyle w:val="Notedebasdepage"/>
        <w:bidi/>
        <w:rPr>
          <w:rtl/>
          <w:lang w:bidi="ar-AE"/>
        </w:rPr>
      </w:pPr>
      <w:r>
        <w:rPr>
          <w:rStyle w:val="Appelnotedebasdep"/>
        </w:rPr>
        <w:footnoteRef/>
      </w:r>
      <w:r>
        <w:t xml:space="preserve"> </w:t>
      </w:r>
      <w:r>
        <w:rPr>
          <w:rtl/>
          <w:lang w:bidi="ar-AE"/>
        </w:rPr>
        <w:t xml:space="preserve"> عز الدين إسماعيل، مرجع سابق، ص 151.</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46002B"/>
    <w:rsid w:val="00174293"/>
    <w:rsid w:val="0046002B"/>
    <w:rsid w:val="00AB028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02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46002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6002B"/>
    <w:rPr>
      <w:sz w:val="20"/>
      <w:szCs w:val="20"/>
    </w:rPr>
  </w:style>
  <w:style w:type="paragraph" w:styleId="Paragraphedeliste">
    <w:name w:val="List Paragraph"/>
    <w:basedOn w:val="Normal"/>
    <w:uiPriority w:val="34"/>
    <w:qFormat/>
    <w:rsid w:val="0046002B"/>
    <w:pPr>
      <w:ind w:left="720"/>
      <w:contextualSpacing/>
    </w:pPr>
  </w:style>
  <w:style w:type="character" w:styleId="Appelnotedebasdep">
    <w:name w:val="footnote reference"/>
    <w:basedOn w:val="Policepardfaut"/>
    <w:uiPriority w:val="99"/>
    <w:semiHidden/>
    <w:unhideWhenUsed/>
    <w:rsid w:val="0046002B"/>
    <w:rPr>
      <w:vertAlign w:val="superscript"/>
    </w:rPr>
  </w:style>
  <w:style w:type="table" w:styleId="Grilledutableau">
    <w:name w:val="Table Grid"/>
    <w:basedOn w:val="TableauNormal"/>
    <w:uiPriority w:val="59"/>
    <w:rsid w:val="004600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uiPriority w:val="99"/>
    <w:semiHidden/>
    <w:unhideWhenUsed/>
    <w:rsid w:val="0046002B"/>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6002B"/>
  </w:style>
  <w:style w:type="paragraph" w:styleId="Pieddepage">
    <w:name w:val="footer"/>
    <w:basedOn w:val="Normal"/>
    <w:link w:val="PieddepageCar"/>
    <w:uiPriority w:val="99"/>
    <w:unhideWhenUsed/>
    <w:rsid w:val="0046002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6002B"/>
  </w:style>
</w:styles>
</file>

<file path=word/webSettings.xml><?xml version="1.0" encoding="utf-8"?>
<w:webSettings xmlns:r="http://schemas.openxmlformats.org/officeDocument/2006/relationships" xmlns:w="http://schemas.openxmlformats.org/wordprocessingml/2006/main">
  <w:divs>
    <w:div w:id="111139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778</Words>
  <Characters>4284</Characters>
  <Application>Microsoft Office Word</Application>
  <DocSecurity>0</DocSecurity>
  <Lines>35</Lines>
  <Paragraphs>10</Paragraphs>
  <ScaleCrop>false</ScaleCrop>
  <Company/>
  <LinksUpToDate>false</LinksUpToDate>
  <CharactersWithSpaces>5052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ECS</dc:creator>
  <cp:lastModifiedBy>ECS</cp:lastModifiedBy>
  <cp:revision>2</cp:revision>
  <dcterms:created xsi:type="dcterms:W3CDTF">2026-04-13T22:57:00Z</dcterms:created>
  <dcterms:modified xsi:type="dcterms:W3CDTF">2026-04-13T22:59:00Z</dcterms:modified>
</cp:coreProperties>
</file>