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B9E3"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يُعدّ نص المادة 39 من قانون العقوبات الجزائري من النصوص الأساسية التي كرّس من خلالها المشرّع فكرة الأفعال المبرّرة أو أسباب الإباحة، حيث نصّ على الحالات التي تنتفي فيها الصفة الإجرامية عن الفعل رغم توافر أركان الجريمة. ويتمثل ذلك أساسًا في تنفيذ ما يأمر به القانون أو يأذن به، إضافة إلى حالة الدفاع الشرعي عن النفس أو الغير أو المال، متى كان الدفاع متناسبًا مع جسامة الاعتداء. ويكتسي هذا النص أهمية بالغة لارتباطه بمبدأ الشرعية الجزائية وبالحدود الفاصلة بين الفعل المجرّم والفعل المشروع</w:t>
      </w:r>
      <w:r w:rsidRPr="009808BE">
        <w:rPr>
          <w:rFonts w:ascii="Sakkal Majalla" w:hAnsi="Sakkal Majalla" w:cs="Sakkal Majalla"/>
          <w:sz w:val="28"/>
          <w:szCs w:val="28"/>
        </w:rPr>
        <w:t xml:space="preserve">. </w:t>
      </w:r>
    </w:p>
    <w:p w14:paraId="4F6D0DFC"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tl/>
        </w:rPr>
        <w:t>أولا: التحليل الشكلي للمادة 39 من قانون العقوبات</w:t>
      </w:r>
    </w:p>
    <w:p w14:paraId="25BE5231"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Pr>
        <w:t xml:space="preserve">1- </w:t>
      </w:r>
      <w:r w:rsidRPr="009808BE">
        <w:rPr>
          <w:rFonts w:ascii="Sakkal Majalla" w:hAnsi="Sakkal Majalla" w:cs="Sakkal Majalla"/>
          <w:b/>
          <w:bCs/>
          <w:sz w:val="28"/>
          <w:szCs w:val="28"/>
          <w:rtl/>
        </w:rPr>
        <w:t>طبيعة النص</w:t>
      </w:r>
    </w:p>
    <w:p w14:paraId="1163ECE2"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يُعتبر النص محل الدراسة نصًا تشريعيًا واردًا ضمن قانون العقوبات الجزائري، ويتضمن قاعدة قانونية عامة ومجرّدة تحدد حالات انتفاء الجريمة رغم وقوع الفعل المادي. وقد جاءت المادة 39 لتقرر أن الفعل لا يُعد جريمة إذا كان تنفيذًا لأمر القانون أو إذنه، أو إذا ارتُكب في إطار الدفاع الشرعي</w:t>
      </w:r>
      <w:r w:rsidRPr="009808BE">
        <w:rPr>
          <w:rFonts w:ascii="Sakkal Majalla" w:hAnsi="Sakkal Majalla" w:cs="Sakkal Majalla"/>
          <w:sz w:val="28"/>
          <w:szCs w:val="28"/>
        </w:rPr>
        <w:t xml:space="preserve">. </w:t>
      </w:r>
    </w:p>
    <w:p w14:paraId="41834DBA"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Pr>
        <w:t xml:space="preserve">2- </w:t>
      </w:r>
      <w:r w:rsidRPr="009808BE">
        <w:rPr>
          <w:rFonts w:ascii="Sakkal Majalla" w:hAnsi="Sakkal Majalla" w:cs="Sakkal Majalla"/>
          <w:b/>
          <w:bCs/>
          <w:sz w:val="28"/>
          <w:szCs w:val="28"/>
          <w:rtl/>
        </w:rPr>
        <w:t>موقع النص القانوني</w:t>
      </w:r>
    </w:p>
    <w:p w14:paraId="6549B82D"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وردت المادة 39 ضمن الأمر رقم 66-156 المؤرخ في 8 جوان 1966 المتضمن قانون العقوبات الجزائري المعدل والمتمم، وتحديدًا ضمن القسم المتعلق بالمبادئ العامة، الأمر الذي يعكس الطبيعة الجوهرية لهذا النص باعتباره من القواعد الأساسية التي يقوم عليها النظام الجزائي</w:t>
      </w:r>
      <w:r w:rsidRPr="009808BE">
        <w:rPr>
          <w:rFonts w:ascii="Sakkal Majalla" w:hAnsi="Sakkal Majalla" w:cs="Sakkal Majalla"/>
          <w:sz w:val="28"/>
          <w:szCs w:val="28"/>
        </w:rPr>
        <w:t xml:space="preserve">. </w:t>
      </w:r>
    </w:p>
    <w:p w14:paraId="582B8DDB" w14:textId="38512EC3"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Pr>
        <w:t xml:space="preserve">3- </w:t>
      </w:r>
      <w:r w:rsidRPr="009808BE">
        <w:rPr>
          <w:rFonts w:ascii="Sakkal Majalla" w:hAnsi="Sakkal Majalla" w:cs="Sakkal Majalla"/>
          <w:b/>
          <w:bCs/>
          <w:sz w:val="28"/>
          <w:szCs w:val="28"/>
          <w:rtl/>
        </w:rPr>
        <w:t>البناء ال</w:t>
      </w:r>
      <w:r>
        <w:rPr>
          <w:rFonts w:ascii="Sakkal Majalla" w:hAnsi="Sakkal Majalla" w:cs="Sakkal Majalla" w:hint="cs"/>
          <w:b/>
          <w:bCs/>
          <w:sz w:val="28"/>
          <w:szCs w:val="28"/>
          <w:rtl/>
        </w:rPr>
        <w:t>طبوغرافي</w:t>
      </w:r>
    </w:p>
    <w:p w14:paraId="19EDFFE6"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اعتمد المشرّع أسلوبًا موجزًا ومباشرًا في صياغة المادة، فجاءت في شكل ثلاث فقرات مترابطة، تبدأ بعبارة “لا جريمة” ثم تليها حالتا الإباحة المقررتان قانونًا. ويكشف هذا البناء عن رغبة المشرّع في التركيز على مضمون القاعدة القانونية دون الإطناب في الصياغة</w:t>
      </w:r>
      <w:r w:rsidRPr="009808BE">
        <w:rPr>
          <w:rFonts w:ascii="Sakkal Majalla" w:hAnsi="Sakkal Majalla" w:cs="Sakkal Majalla"/>
          <w:sz w:val="28"/>
          <w:szCs w:val="28"/>
        </w:rPr>
        <w:t xml:space="preserve">. </w:t>
      </w:r>
    </w:p>
    <w:p w14:paraId="5047FCD5"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استعمل المشرّع ألفاظًا قانونية دقيقة تعكس الطابع الجزائي للنص، مثل: “الجريمة”، “القانون”، “الدفاع المشروع”، وهي مصطلحات ذات مدلول قانوني واضح. كما صيغ النص بأسلوب شرطي يربط انتفاء الجريمة بتوافر شروط محددة، وهو ما يعكس المنهج المنطقي الذي اعتمده المشرّع في تنظيم أسباب الإباحة</w:t>
      </w:r>
      <w:r w:rsidRPr="009808BE">
        <w:rPr>
          <w:rFonts w:ascii="Sakkal Majalla" w:hAnsi="Sakkal Majalla" w:cs="Sakkal Majalla"/>
          <w:sz w:val="28"/>
          <w:szCs w:val="28"/>
        </w:rPr>
        <w:t xml:space="preserve">. </w:t>
      </w:r>
    </w:p>
    <w:p w14:paraId="74BB5C01" w14:textId="23B11E6D" w:rsidR="009808BE" w:rsidRPr="009808BE" w:rsidRDefault="009808BE" w:rsidP="009808BE">
      <w:pPr>
        <w:bidi/>
        <w:jc w:val="both"/>
        <w:rPr>
          <w:rFonts w:ascii="Sakkal Majalla" w:hAnsi="Sakkal Majalla" w:cs="Sakkal Majalla"/>
          <w:sz w:val="28"/>
          <w:szCs w:val="28"/>
        </w:rPr>
      </w:pPr>
    </w:p>
    <w:p w14:paraId="52C59064"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tl/>
        </w:rPr>
        <w:t>ثانيا: التحليل الموضوعي للمادة 39 من قانون العقوبات</w:t>
      </w:r>
    </w:p>
    <w:p w14:paraId="00413A41"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Pr>
        <w:t xml:space="preserve">1- </w:t>
      </w:r>
      <w:r w:rsidRPr="009808BE">
        <w:rPr>
          <w:rFonts w:ascii="Sakkal Majalla" w:hAnsi="Sakkal Majalla" w:cs="Sakkal Majalla"/>
          <w:b/>
          <w:bCs/>
          <w:sz w:val="28"/>
          <w:szCs w:val="28"/>
          <w:rtl/>
        </w:rPr>
        <w:t>مضمون النص</w:t>
      </w:r>
    </w:p>
    <w:p w14:paraId="61646EA2"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يتضح من خلال المادة 39 أن المشرّع الجزائري اعترف بفكرة الأفعال المبرّرة، أي الأفعال التي تبدو في ظاهرها مخالفة للقانون، لكنها تفقد صفتها الإجرامية بسبب وجود مبرر قانوني يجيز ارتكابها. وقد حصر النص هذه الحالات في تنفيذ أمر القانون أو إذنه، إضافة إلى حالة الدفاع الشرعي</w:t>
      </w:r>
      <w:r w:rsidRPr="009808BE">
        <w:rPr>
          <w:rFonts w:ascii="Sakkal Majalla" w:hAnsi="Sakkal Majalla" w:cs="Sakkal Majalla"/>
          <w:sz w:val="28"/>
          <w:szCs w:val="28"/>
        </w:rPr>
        <w:t xml:space="preserve">. </w:t>
      </w:r>
    </w:p>
    <w:p w14:paraId="64F51E55"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Pr>
        <w:t xml:space="preserve">2- </w:t>
      </w:r>
      <w:r w:rsidRPr="009808BE">
        <w:rPr>
          <w:rFonts w:ascii="Sakkal Majalla" w:hAnsi="Sakkal Majalla" w:cs="Sakkal Majalla"/>
          <w:b/>
          <w:bCs/>
          <w:sz w:val="28"/>
          <w:szCs w:val="28"/>
          <w:rtl/>
        </w:rPr>
        <w:t>الإشكالية القانونية</w:t>
      </w:r>
    </w:p>
    <w:p w14:paraId="2A99972B"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lastRenderedPageBreak/>
        <w:t>يثير النص عدة تساؤلات قانونية تتعلق بمدى تطبيق مبدأ الشرعية الجزائية، وحدود سلطة القانون في إباحة بعض الأفعال التي تشكل في الأصل جرائم، فضلًا عن تحديد شروط الدفاع الشرعي وضوابطه القانونية</w:t>
      </w:r>
      <w:r w:rsidRPr="009808BE">
        <w:rPr>
          <w:rFonts w:ascii="Sakkal Majalla" w:hAnsi="Sakkal Majalla" w:cs="Sakkal Majalla"/>
          <w:sz w:val="28"/>
          <w:szCs w:val="28"/>
        </w:rPr>
        <w:t xml:space="preserve">. </w:t>
      </w:r>
    </w:p>
    <w:p w14:paraId="614922DD" w14:textId="626A50F8" w:rsidR="009808BE" w:rsidRPr="009808BE" w:rsidRDefault="009808BE" w:rsidP="009808BE">
      <w:pPr>
        <w:bidi/>
        <w:jc w:val="both"/>
        <w:rPr>
          <w:rFonts w:ascii="Sakkal Majalla" w:hAnsi="Sakkal Majalla" w:cs="Sakkal Majalla"/>
          <w:sz w:val="28"/>
          <w:szCs w:val="28"/>
        </w:rPr>
      </w:pPr>
    </w:p>
    <w:p w14:paraId="4DCB54BF"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tl/>
        </w:rPr>
        <w:t>مقدمة معاد صياغتها بأسلوب أكاديمي</w:t>
      </w:r>
    </w:p>
    <w:p w14:paraId="0C7F02C6"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تقوم المسؤولية الجزائية في الأصل على ارتكاب فعل يجرّمه القانون مع توافر أركانه القانونية والمادية والمعنوية، غير أن المشرّع قد يقرّر في بعض الحالات انتفاء الصفة الإجرامية عن الفعل رغم تحقّق عناصر الجريمة، وذلك لوجود مصلحة اجتماعية أو قانونية أسمى تستوجب حمايته. وفي هذا الإطار أقرّ قانون العقوبات الجزائري نظام الأفعال المبرّرة باعتباره استثناءً على الأصل العام المتمثل في التجريم والعقاب، حيث نصت المادة 39 على حالتين أساسيتين تتمثلان في تنفيذ ما يأمر به القانون أو يأذن به، وحالة الدفاع الشرعي. ويهدف هذا التنظيم إلى تحقيق التوازن بين حماية النظام العام وضمان حقوق الأفراد، من خلال السماح ببعض الأفعال متى اقتضتها الضرورة القانونية أو الاجتماعية</w:t>
      </w:r>
      <w:r w:rsidRPr="009808BE">
        <w:rPr>
          <w:rFonts w:ascii="Sakkal Majalla" w:hAnsi="Sakkal Majalla" w:cs="Sakkal Majalla"/>
          <w:sz w:val="28"/>
          <w:szCs w:val="28"/>
        </w:rPr>
        <w:t xml:space="preserve">. </w:t>
      </w:r>
    </w:p>
    <w:p w14:paraId="7F9A222B" w14:textId="73ECE717" w:rsidR="009808BE" w:rsidRPr="009808BE" w:rsidRDefault="009808BE" w:rsidP="009808BE">
      <w:pPr>
        <w:bidi/>
        <w:jc w:val="both"/>
        <w:rPr>
          <w:rFonts w:ascii="Sakkal Majalla" w:hAnsi="Sakkal Majalla" w:cs="Sakkal Majalla"/>
          <w:sz w:val="28"/>
          <w:szCs w:val="28"/>
        </w:rPr>
      </w:pPr>
    </w:p>
    <w:p w14:paraId="571DCD52"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tl/>
        </w:rPr>
        <w:t>المبحث الأول: الأفعال التي يأمر أو يأذن بها القانون وممارسة الحق</w:t>
      </w:r>
    </w:p>
    <w:p w14:paraId="2D5AACD0"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كرّست المادة 39 من قانون العقوبات مبدأ أساسيًا مفاده أن الفعل الذي يتم تنفيذًا لأمر القانون أو بإذن منه لا يمكن اعتباره جريمة، لأن المشروعية القانونية ترفع عنه الصفة الإجرامية. ويشمل ذلك الأفعال التي يؤديها الموظفون أثناء ممارسة مهامهم، أو تلك التي تدخل ضمن نطاق الحقوق التي يعترف بها القانون ويحميها</w:t>
      </w:r>
      <w:r w:rsidRPr="009808BE">
        <w:rPr>
          <w:rFonts w:ascii="Sakkal Majalla" w:hAnsi="Sakkal Majalla" w:cs="Sakkal Majalla"/>
          <w:sz w:val="28"/>
          <w:szCs w:val="28"/>
        </w:rPr>
        <w:t xml:space="preserve">. </w:t>
      </w:r>
    </w:p>
    <w:p w14:paraId="0AA4823B"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tl/>
        </w:rPr>
        <w:t>المطلب الأول: الأفعال التي يأمر بها القانون أو يأذن بها</w:t>
      </w:r>
    </w:p>
    <w:p w14:paraId="6424BCAA"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tl/>
        </w:rPr>
        <w:t>أولا: الأفعال التي يأمر بها القانون</w:t>
      </w:r>
    </w:p>
    <w:p w14:paraId="7066BE8A"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يقصد بها الأفعال التي يفرضها القانون على الأفراد أو الموظفين أثناء تأدية وظائفهم، مثل تنفيذ أوامر القبض أو الإيداع أو التفتيش. ففي هذه الحالات يكون الفاعل بصدد تنفيذ واجب قانوني، ومن ثم تنتفي عنه المسؤولية الجزائية لأن القانون ذاته هو مصدر الإباحة</w:t>
      </w:r>
      <w:r w:rsidRPr="009808BE">
        <w:rPr>
          <w:rFonts w:ascii="Sakkal Majalla" w:hAnsi="Sakkal Majalla" w:cs="Sakkal Majalla"/>
          <w:sz w:val="28"/>
          <w:szCs w:val="28"/>
        </w:rPr>
        <w:t xml:space="preserve">. </w:t>
      </w:r>
    </w:p>
    <w:p w14:paraId="30A8ACD8"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tl/>
        </w:rPr>
        <w:t>ثانيا: الأفعال التي يأذن بها القانون</w:t>
      </w:r>
    </w:p>
    <w:p w14:paraId="51FBA5EC"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يقصد بها الأفعال التي يسمح بها القانون دون أن يفرضها، كالأعمال الطبية والجراحية أو ممارسة بعض الرياضات العنيفة وفقًا للقواعد المنظمة لها. كما يمتد الإذن أحيانًا إلى بعض الأعراف المقبولة اجتماعيًا متى لم تخالف النظام العام</w:t>
      </w:r>
      <w:r w:rsidRPr="009808BE">
        <w:rPr>
          <w:rFonts w:ascii="Sakkal Majalla" w:hAnsi="Sakkal Majalla" w:cs="Sakkal Majalla"/>
          <w:sz w:val="28"/>
          <w:szCs w:val="28"/>
        </w:rPr>
        <w:t xml:space="preserve">. </w:t>
      </w:r>
    </w:p>
    <w:p w14:paraId="3E192534"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tl/>
        </w:rPr>
        <w:t>ثالثا: تنفيذ أوامر السلطة</w:t>
      </w:r>
    </w:p>
    <w:p w14:paraId="65B506E4"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يثور الجدل بشأن مدى مسؤولية المرؤوس الذي ينفذ أمرًا غير مشروع صادرًا من رئيسه، وقد انقسم الفقه بين من يوجب الطاعة المطلقة، ومن يحمّل المرؤوس مسؤولية التحقق من مشروعية الأمر، وبين اتجاه وسط يميز بين عدم المشروعية الظاهرة وغير الظاهرة. ويبدو أن الاتجاه الأخير هو الأقرب إلى تحقيق التوازن بين احترام السلطة وحماية الشرعية القانونية</w:t>
      </w:r>
      <w:r w:rsidRPr="009808BE">
        <w:rPr>
          <w:rFonts w:ascii="Sakkal Majalla" w:hAnsi="Sakkal Majalla" w:cs="Sakkal Majalla"/>
          <w:sz w:val="28"/>
          <w:szCs w:val="28"/>
        </w:rPr>
        <w:t xml:space="preserve">. </w:t>
      </w:r>
    </w:p>
    <w:p w14:paraId="6CD65236" w14:textId="752A5432" w:rsidR="009808BE" w:rsidRPr="009808BE" w:rsidRDefault="009808BE" w:rsidP="009808BE">
      <w:pPr>
        <w:bidi/>
        <w:jc w:val="both"/>
        <w:rPr>
          <w:rFonts w:ascii="Sakkal Majalla" w:hAnsi="Sakkal Majalla" w:cs="Sakkal Majalla"/>
          <w:sz w:val="28"/>
          <w:szCs w:val="28"/>
        </w:rPr>
      </w:pPr>
    </w:p>
    <w:p w14:paraId="751CC558"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tl/>
        </w:rPr>
        <w:t>المطلب الثاني: ممارسة الحق كسبب للإباحة</w:t>
      </w:r>
    </w:p>
    <w:p w14:paraId="6BCBB82D"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يقصد بممارسة الحق استعمال الشخص لحق يعترف به القانون ويحميه، بحيث تنتفي الصفة الإجرامية عن الأفعال اللازمة لاستعمال هذا الحق. فالغاية من منح الحقوق للأفراد هي تمكينهم من ممارستها بصورة مشروعة دون تعرضهم للمساءلة الجزائية</w:t>
      </w:r>
      <w:r w:rsidRPr="009808BE">
        <w:rPr>
          <w:rFonts w:ascii="Sakkal Majalla" w:hAnsi="Sakkal Majalla" w:cs="Sakkal Majalla"/>
          <w:sz w:val="28"/>
          <w:szCs w:val="28"/>
        </w:rPr>
        <w:t xml:space="preserve">. </w:t>
      </w:r>
    </w:p>
    <w:p w14:paraId="01659641"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tl/>
        </w:rPr>
        <w:t>شروط ممارسة الحق</w:t>
      </w:r>
    </w:p>
    <w:p w14:paraId="3141F17D"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يشترط لقيام سبب الإباحة الناتج عن ممارسة الحق ما يلي</w:t>
      </w:r>
      <w:r w:rsidRPr="009808BE">
        <w:rPr>
          <w:rFonts w:ascii="Sakkal Majalla" w:hAnsi="Sakkal Majalla" w:cs="Sakkal Majalla"/>
          <w:sz w:val="28"/>
          <w:szCs w:val="28"/>
        </w:rPr>
        <w:t>:</w:t>
      </w:r>
    </w:p>
    <w:p w14:paraId="49DA12E4" w14:textId="77777777" w:rsidR="009808BE" w:rsidRPr="009808BE" w:rsidRDefault="009808BE" w:rsidP="009808BE">
      <w:pPr>
        <w:numPr>
          <w:ilvl w:val="0"/>
          <w:numId w:val="1"/>
        </w:numPr>
        <w:bidi/>
        <w:jc w:val="both"/>
        <w:rPr>
          <w:rFonts w:ascii="Sakkal Majalla" w:hAnsi="Sakkal Majalla" w:cs="Sakkal Majalla"/>
          <w:sz w:val="28"/>
          <w:szCs w:val="28"/>
        </w:rPr>
      </w:pPr>
      <w:r w:rsidRPr="009808BE">
        <w:rPr>
          <w:rFonts w:ascii="Sakkal Majalla" w:hAnsi="Sakkal Majalla" w:cs="Sakkal Majalla"/>
          <w:sz w:val="28"/>
          <w:szCs w:val="28"/>
          <w:rtl/>
        </w:rPr>
        <w:t>وجود حق معترف به قانونًا</w:t>
      </w:r>
      <w:r w:rsidRPr="009808BE">
        <w:rPr>
          <w:rFonts w:ascii="Sakkal Majalla" w:hAnsi="Sakkal Majalla" w:cs="Sakkal Majalla"/>
          <w:sz w:val="28"/>
          <w:szCs w:val="28"/>
        </w:rPr>
        <w:t xml:space="preserve">. </w:t>
      </w:r>
    </w:p>
    <w:p w14:paraId="4E1388EF" w14:textId="77777777" w:rsidR="009808BE" w:rsidRPr="009808BE" w:rsidRDefault="009808BE" w:rsidP="009808BE">
      <w:pPr>
        <w:numPr>
          <w:ilvl w:val="0"/>
          <w:numId w:val="1"/>
        </w:numPr>
        <w:bidi/>
        <w:jc w:val="both"/>
        <w:rPr>
          <w:rFonts w:ascii="Sakkal Majalla" w:hAnsi="Sakkal Majalla" w:cs="Sakkal Majalla"/>
          <w:sz w:val="28"/>
          <w:szCs w:val="28"/>
        </w:rPr>
      </w:pPr>
      <w:r w:rsidRPr="009808BE">
        <w:rPr>
          <w:rFonts w:ascii="Sakkal Majalla" w:hAnsi="Sakkal Majalla" w:cs="Sakkal Majalla"/>
          <w:sz w:val="28"/>
          <w:szCs w:val="28"/>
          <w:rtl/>
        </w:rPr>
        <w:t>الالتزام بالحدود القانونية لممارسة الحق</w:t>
      </w:r>
      <w:r w:rsidRPr="009808BE">
        <w:rPr>
          <w:rFonts w:ascii="Sakkal Majalla" w:hAnsi="Sakkal Majalla" w:cs="Sakkal Majalla"/>
          <w:sz w:val="28"/>
          <w:szCs w:val="28"/>
        </w:rPr>
        <w:t xml:space="preserve">. </w:t>
      </w:r>
    </w:p>
    <w:p w14:paraId="5E7921B9" w14:textId="77777777" w:rsidR="009808BE" w:rsidRPr="009808BE" w:rsidRDefault="009808BE" w:rsidP="009808BE">
      <w:pPr>
        <w:numPr>
          <w:ilvl w:val="0"/>
          <w:numId w:val="1"/>
        </w:numPr>
        <w:bidi/>
        <w:jc w:val="both"/>
        <w:rPr>
          <w:rFonts w:ascii="Sakkal Majalla" w:hAnsi="Sakkal Majalla" w:cs="Sakkal Majalla"/>
          <w:sz w:val="28"/>
          <w:szCs w:val="28"/>
        </w:rPr>
      </w:pPr>
      <w:r w:rsidRPr="009808BE">
        <w:rPr>
          <w:rFonts w:ascii="Sakkal Majalla" w:hAnsi="Sakkal Majalla" w:cs="Sakkal Majalla"/>
          <w:sz w:val="28"/>
          <w:szCs w:val="28"/>
          <w:rtl/>
        </w:rPr>
        <w:t>حسن النية واستهداف الغاية المشروعة التي قرر من أجلها الحق</w:t>
      </w:r>
      <w:r w:rsidRPr="009808BE">
        <w:rPr>
          <w:rFonts w:ascii="Sakkal Majalla" w:hAnsi="Sakkal Majalla" w:cs="Sakkal Majalla"/>
          <w:sz w:val="28"/>
          <w:szCs w:val="28"/>
        </w:rPr>
        <w:t xml:space="preserve">. </w:t>
      </w:r>
    </w:p>
    <w:p w14:paraId="680F9B6F"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tl/>
        </w:rPr>
        <w:t>تطبيقات ممارسة الحق</w:t>
      </w:r>
    </w:p>
    <w:p w14:paraId="39CADA60"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تتعدد صور ممارسة الحق، ومن أبرزها</w:t>
      </w:r>
      <w:r w:rsidRPr="009808BE">
        <w:rPr>
          <w:rFonts w:ascii="Sakkal Majalla" w:hAnsi="Sakkal Majalla" w:cs="Sakkal Majalla"/>
          <w:sz w:val="28"/>
          <w:szCs w:val="28"/>
        </w:rPr>
        <w:t>:</w:t>
      </w:r>
    </w:p>
    <w:p w14:paraId="362861AD" w14:textId="77777777" w:rsidR="009808BE" w:rsidRPr="009808BE" w:rsidRDefault="009808BE" w:rsidP="009808BE">
      <w:pPr>
        <w:numPr>
          <w:ilvl w:val="0"/>
          <w:numId w:val="2"/>
        </w:numPr>
        <w:bidi/>
        <w:jc w:val="both"/>
        <w:rPr>
          <w:rFonts w:ascii="Sakkal Majalla" w:hAnsi="Sakkal Majalla" w:cs="Sakkal Majalla"/>
          <w:sz w:val="28"/>
          <w:szCs w:val="28"/>
        </w:rPr>
      </w:pPr>
      <w:r w:rsidRPr="009808BE">
        <w:rPr>
          <w:rFonts w:ascii="Sakkal Majalla" w:hAnsi="Sakkal Majalla" w:cs="Sakkal Majalla"/>
          <w:sz w:val="28"/>
          <w:szCs w:val="28"/>
          <w:rtl/>
        </w:rPr>
        <w:t>حق التأديب</w:t>
      </w:r>
      <w:r w:rsidRPr="009808BE">
        <w:rPr>
          <w:rFonts w:ascii="Sakkal Majalla" w:hAnsi="Sakkal Majalla" w:cs="Sakkal Majalla"/>
          <w:sz w:val="28"/>
          <w:szCs w:val="28"/>
        </w:rPr>
        <w:t xml:space="preserve">. </w:t>
      </w:r>
    </w:p>
    <w:p w14:paraId="46380AA8" w14:textId="77777777" w:rsidR="009808BE" w:rsidRPr="009808BE" w:rsidRDefault="009808BE" w:rsidP="009808BE">
      <w:pPr>
        <w:numPr>
          <w:ilvl w:val="0"/>
          <w:numId w:val="2"/>
        </w:numPr>
        <w:bidi/>
        <w:jc w:val="both"/>
        <w:rPr>
          <w:rFonts w:ascii="Sakkal Majalla" w:hAnsi="Sakkal Majalla" w:cs="Sakkal Majalla"/>
          <w:sz w:val="28"/>
          <w:szCs w:val="28"/>
        </w:rPr>
      </w:pPr>
      <w:r w:rsidRPr="009808BE">
        <w:rPr>
          <w:rFonts w:ascii="Sakkal Majalla" w:hAnsi="Sakkal Majalla" w:cs="Sakkal Majalla"/>
          <w:sz w:val="28"/>
          <w:szCs w:val="28"/>
          <w:rtl/>
        </w:rPr>
        <w:t>مزاولة الأعمال الطبية</w:t>
      </w:r>
      <w:r w:rsidRPr="009808BE">
        <w:rPr>
          <w:rFonts w:ascii="Sakkal Majalla" w:hAnsi="Sakkal Majalla" w:cs="Sakkal Majalla"/>
          <w:sz w:val="28"/>
          <w:szCs w:val="28"/>
        </w:rPr>
        <w:t xml:space="preserve">. </w:t>
      </w:r>
    </w:p>
    <w:p w14:paraId="6EFD9C94" w14:textId="77777777" w:rsidR="009808BE" w:rsidRPr="009808BE" w:rsidRDefault="009808BE" w:rsidP="009808BE">
      <w:pPr>
        <w:numPr>
          <w:ilvl w:val="0"/>
          <w:numId w:val="2"/>
        </w:numPr>
        <w:bidi/>
        <w:jc w:val="both"/>
        <w:rPr>
          <w:rFonts w:ascii="Sakkal Majalla" w:hAnsi="Sakkal Majalla" w:cs="Sakkal Majalla"/>
          <w:sz w:val="28"/>
          <w:szCs w:val="28"/>
        </w:rPr>
      </w:pPr>
      <w:r w:rsidRPr="009808BE">
        <w:rPr>
          <w:rFonts w:ascii="Sakkal Majalla" w:hAnsi="Sakkal Majalla" w:cs="Sakkal Majalla"/>
          <w:sz w:val="28"/>
          <w:szCs w:val="28"/>
          <w:rtl/>
        </w:rPr>
        <w:t>ممارسة الألعاب الرياضية</w:t>
      </w:r>
      <w:r w:rsidRPr="009808BE">
        <w:rPr>
          <w:rFonts w:ascii="Sakkal Majalla" w:hAnsi="Sakkal Majalla" w:cs="Sakkal Majalla"/>
          <w:sz w:val="28"/>
          <w:szCs w:val="28"/>
        </w:rPr>
        <w:t xml:space="preserve">. </w:t>
      </w:r>
    </w:p>
    <w:p w14:paraId="126CD9E5" w14:textId="77777777" w:rsidR="009808BE" w:rsidRPr="009808BE" w:rsidRDefault="009808BE" w:rsidP="009808BE">
      <w:pPr>
        <w:numPr>
          <w:ilvl w:val="0"/>
          <w:numId w:val="2"/>
        </w:numPr>
        <w:bidi/>
        <w:jc w:val="both"/>
        <w:rPr>
          <w:rFonts w:ascii="Sakkal Majalla" w:hAnsi="Sakkal Majalla" w:cs="Sakkal Majalla"/>
          <w:sz w:val="28"/>
          <w:szCs w:val="28"/>
        </w:rPr>
      </w:pPr>
      <w:r w:rsidRPr="009808BE">
        <w:rPr>
          <w:rFonts w:ascii="Sakkal Majalla" w:hAnsi="Sakkal Majalla" w:cs="Sakkal Majalla"/>
          <w:sz w:val="28"/>
          <w:szCs w:val="28"/>
          <w:rtl/>
        </w:rPr>
        <w:t>حق الدفاع أمام القضاء</w:t>
      </w:r>
      <w:r w:rsidRPr="009808BE">
        <w:rPr>
          <w:rFonts w:ascii="Sakkal Majalla" w:hAnsi="Sakkal Majalla" w:cs="Sakkal Majalla"/>
          <w:sz w:val="28"/>
          <w:szCs w:val="28"/>
        </w:rPr>
        <w:t xml:space="preserve">. </w:t>
      </w:r>
    </w:p>
    <w:p w14:paraId="74EFF10B" w14:textId="77777777" w:rsidR="009808BE" w:rsidRPr="009808BE" w:rsidRDefault="009808BE" w:rsidP="009808BE">
      <w:pPr>
        <w:numPr>
          <w:ilvl w:val="0"/>
          <w:numId w:val="2"/>
        </w:numPr>
        <w:bidi/>
        <w:jc w:val="both"/>
        <w:rPr>
          <w:rFonts w:ascii="Sakkal Majalla" w:hAnsi="Sakkal Majalla" w:cs="Sakkal Majalla"/>
          <w:sz w:val="28"/>
          <w:szCs w:val="28"/>
        </w:rPr>
      </w:pPr>
      <w:r w:rsidRPr="009808BE">
        <w:rPr>
          <w:rFonts w:ascii="Sakkal Majalla" w:hAnsi="Sakkal Majalla" w:cs="Sakkal Majalla"/>
          <w:sz w:val="28"/>
          <w:szCs w:val="28"/>
          <w:rtl/>
        </w:rPr>
        <w:t>حق النقد الصحفي المباح</w:t>
      </w:r>
      <w:r w:rsidRPr="009808BE">
        <w:rPr>
          <w:rFonts w:ascii="Sakkal Majalla" w:hAnsi="Sakkal Majalla" w:cs="Sakkal Majalla"/>
          <w:sz w:val="28"/>
          <w:szCs w:val="28"/>
        </w:rPr>
        <w:t xml:space="preserve">. </w:t>
      </w:r>
    </w:p>
    <w:p w14:paraId="33FF1E72" w14:textId="08EC8801" w:rsidR="009808BE" w:rsidRPr="009808BE" w:rsidRDefault="009808BE" w:rsidP="009808BE">
      <w:pPr>
        <w:bidi/>
        <w:jc w:val="both"/>
        <w:rPr>
          <w:rFonts w:ascii="Sakkal Majalla" w:hAnsi="Sakkal Majalla" w:cs="Sakkal Majalla"/>
          <w:sz w:val="28"/>
          <w:szCs w:val="28"/>
        </w:rPr>
      </w:pPr>
    </w:p>
    <w:p w14:paraId="5D3FC12C"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tl/>
        </w:rPr>
        <w:t>المبحث الثاني: الدفاع الشرعي وحالة الضرورة</w:t>
      </w:r>
    </w:p>
    <w:p w14:paraId="71E292F1"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يُعد الدفاع الشرعي من أهم أسباب الإباحة التي أقرها المشرّع الجزائري، إذ يسمح للفرد بردّ الاعتداء غير المشروع الواقع عليه أو على غيره أو على ماله، بشرط احترام مبدأ التناسب بين فعل الدفاع وجسامة الاعتداء. ويستند هذا الحق إلى فكرة حماية النفس والمصلحة المشروعة عندما تعجز السلطات العامة عن التدخل الفوري</w:t>
      </w:r>
      <w:r w:rsidRPr="009808BE">
        <w:rPr>
          <w:rFonts w:ascii="Sakkal Majalla" w:hAnsi="Sakkal Majalla" w:cs="Sakkal Majalla"/>
          <w:sz w:val="28"/>
          <w:szCs w:val="28"/>
        </w:rPr>
        <w:t xml:space="preserve">. </w:t>
      </w:r>
    </w:p>
    <w:p w14:paraId="1C2C1F37" w14:textId="77777777"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tl/>
        </w:rPr>
        <w:t>شروط الدفاع الشرعي</w:t>
      </w:r>
    </w:p>
    <w:p w14:paraId="63B6379A"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يشترط لقيام الدفاع الشرعي</w:t>
      </w:r>
      <w:r w:rsidRPr="009808BE">
        <w:rPr>
          <w:rFonts w:ascii="Sakkal Majalla" w:hAnsi="Sakkal Majalla" w:cs="Sakkal Majalla"/>
          <w:sz w:val="28"/>
          <w:szCs w:val="28"/>
        </w:rPr>
        <w:t>:</w:t>
      </w:r>
    </w:p>
    <w:p w14:paraId="607FF8BE" w14:textId="77777777" w:rsidR="009808BE" w:rsidRPr="009808BE" w:rsidRDefault="009808BE" w:rsidP="009808BE">
      <w:pPr>
        <w:numPr>
          <w:ilvl w:val="0"/>
          <w:numId w:val="3"/>
        </w:numPr>
        <w:bidi/>
        <w:jc w:val="both"/>
        <w:rPr>
          <w:rFonts w:ascii="Sakkal Majalla" w:hAnsi="Sakkal Majalla" w:cs="Sakkal Majalla"/>
          <w:sz w:val="28"/>
          <w:szCs w:val="28"/>
        </w:rPr>
      </w:pPr>
      <w:r w:rsidRPr="009808BE">
        <w:rPr>
          <w:rFonts w:ascii="Sakkal Majalla" w:hAnsi="Sakkal Majalla" w:cs="Sakkal Majalla"/>
          <w:sz w:val="28"/>
          <w:szCs w:val="28"/>
          <w:rtl/>
        </w:rPr>
        <w:t>وجود اعتداء غير مشروع</w:t>
      </w:r>
      <w:r w:rsidRPr="009808BE">
        <w:rPr>
          <w:rFonts w:ascii="Sakkal Majalla" w:hAnsi="Sakkal Majalla" w:cs="Sakkal Majalla"/>
          <w:sz w:val="28"/>
          <w:szCs w:val="28"/>
        </w:rPr>
        <w:t xml:space="preserve">. </w:t>
      </w:r>
    </w:p>
    <w:p w14:paraId="28767D26" w14:textId="77777777" w:rsidR="009808BE" w:rsidRPr="009808BE" w:rsidRDefault="009808BE" w:rsidP="009808BE">
      <w:pPr>
        <w:numPr>
          <w:ilvl w:val="0"/>
          <w:numId w:val="3"/>
        </w:numPr>
        <w:bidi/>
        <w:jc w:val="both"/>
        <w:rPr>
          <w:rFonts w:ascii="Sakkal Majalla" w:hAnsi="Sakkal Majalla" w:cs="Sakkal Majalla"/>
          <w:sz w:val="28"/>
          <w:szCs w:val="28"/>
        </w:rPr>
      </w:pPr>
      <w:r w:rsidRPr="009808BE">
        <w:rPr>
          <w:rFonts w:ascii="Sakkal Majalla" w:hAnsi="Sakkal Majalla" w:cs="Sakkal Majalla"/>
          <w:sz w:val="28"/>
          <w:szCs w:val="28"/>
          <w:rtl/>
        </w:rPr>
        <w:lastRenderedPageBreak/>
        <w:t>أن يكون الاعتداء حالًا أو وشيك الوقوع</w:t>
      </w:r>
      <w:r w:rsidRPr="009808BE">
        <w:rPr>
          <w:rFonts w:ascii="Sakkal Majalla" w:hAnsi="Sakkal Majalla" w:cs="Sakkal Majalla"/>
          <w:sz w:val="28"/>
          <w:szCs w:val="28"/>
        </w:rPr>
        <w:t xml:space="preserve">. </w:t>
      </w:r>
    </w:p>
    <w:p w14:paraId="64ABD266" w14:textId="77777777" w:rsidR="009808BE" w:rsidRPr="009808BE" w:rsidRDefault="009808BE" w:rsidP="009808BE">
      <w:pPr>
        <w:numPr>
          <w:ilvl w:val="0"/>
          <w:numId w:val="3"/>
        </w:numPr>
        <w:bidi/>
        <w:jc w:val="both"/>
        <w:rPr>
          <w:rFonts w:ascii="Sakkal Majalla" w:hAnsi="Sakkal Majalla" w:cs="Sakkal Majalla"/>
          <w:sz w:val="28"/>
          <w:szCs w:val="28"/>
        </w:rPr>
      </w:pPr>
      <w:r w:rsidRPr="009808BE">
        <w:rPr>
          <w:rFonts w:ascii="Sakkal Majalla" w:hAnsi="Sakkal Majalla" w:cs="Sakkal Majalla"/>
          <w:sz w:val="28"/>
          <w:szCs w:val="28"/>
          <w:rtl/>
        </w:rPr>
        <w:t>ضرورة الدفاع لردّ الاعتداء</w:t>
      </w:r>
      <w:r w:rsidRPr="009808BE">
        <w:rPr>
          <w:rFonts w:ascii="Sakkal Majalla" w:hAnsi="Sakkal Majalla" w:cs="Sakkal Majalla"/>
          <w:sz w:val="28"/>
          <w:szCs w:val="28"/>
        </w:rPr>
        <w:t xml:space="preserve">. </w:t>
      </w:r>
    </w:p>
    <w:p w14:paraId="2EB38AB7" w14:textId="77777777" w:rsidR="009808BE" w:rsidRPr="009808BE" w:rsidRDefault="009808BE" w:rsidP="009808BE">
      <w:pPr>
        <w:numPr>
          <w:ilvl w:val="0"/>
          <w:numId w:val="3"/>
        </w:numPr>
        <w:bidi/>
        <w:jc w:val="both"/>
        <w:rPr>
          <w:rFonts w:ascii="Sakkal Majalla" w:hAnsi="Sakkal Majalla" w:cs="Sakkal Majalla"/>
          <w:sz w:val="28"/>
          <w:szCs w:val="28"/>
        </w:rPr>
      </w:pPr>
      <w:r w:rsidRPr="009808BE">
        <w:rPr>
          <w:rFonts w:ascii="Sakkal Majalla" w:hAnsi="Sakkal Majalla" w:cs="Sakkal Majalla"/>
          <w:sz w:val="28"/>
          <w:szCs w:val="28"/>
          <w:rtl/>
        </w:rPr>
        <w:t>تناسب وسيلة الدفاع مع الخطر القائم</w:t>
      </w:r>
      <w:r w:rsidRPr="009808BE">
        <w:rPr>
          <w:rFonts w:ascii="Sakkal Majalla" w:hAnsi="Sakkal Majalla" w:cs="Sakkal Majalla"/>
          <w:sz w:val="28"/>
          <w:szCs w:val="28"/>
        </w:rPr>
        <w:t xml:space="preserve">. </w:t>
      </w:r>
    </w:p>
    <w:p w14:paraId="38DD6B64"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أما إذا تجاوز المدافع حدود التناسب، فإن فعله يفقد الحماية القانونية ويصبح محل مساءلة جزائية</w:t>
      </w:r>
      <w:r w:rsidRPr="009808BE">
        <w:rPr>
          <w:rFonts w:ascii="Sakkal Majalla" w:hAnsi="Sakkal Majalla" w:cs="Sakkal Majalla"/>
          <w:sz w:val="28"/>
          <w:szCs w:val="28"/>
        </w:rPr>
        <w:t>.</w:t>
      </w:r>
    </w:p>
    <w:p w14:paraId="216DBE29" w14:textId="3D733CB4" w:rsidR="009808BE" w:rsidRPr="009808BE" w:rsidRDefault="009808BE" w:rsidP="009808BE">
      <w:pPr>
        <w:bidi/>
        <w:jc w:val="both"/>
        <w:rPr>
          <w:rFonts w:ascii="Sakkal Majalla" w:hAnsi="Sakkal Majalla" w:cs="Sakkal Majalla"/>
          <w:sz w:val="28"/>
          <w:szCs w:val="28"/>
        </w:rPr>
      </w:pPr>
    </w:p>
    <w:p w14:paraId="0A24F4C7" w14:textId="5CE8F764" w:rsidR="009808BE" w:rsidRPr="009808BE" w:rsidRDefault="009808BE" w:rsidP="009808BE">
      <w:pPr>
        <w:bidi/>
        <w:jc w:val="both"/>
        <w:rPr>
          <w:rFonts w:ascii="Sakkal Majalla" w:hAnsi="Sakkal Majalla" w:cs="Sakkal Majalla"/>
          <w:b/>
          <w:bCs/>
          <w:sz w:val="28"/>
          <w:szCs w:val="28"/>
        </w:rPr>
      </w:pPr>
      <w:r w:rsidRPr="009808BE">
        <w:rPr>
          <w:rFonts w:ascii="Sakkal Majalla" w:hAnsi="Sakkal Majalla" w:cs="Sakkal Majalla"/>
          <w:b/>
          <w:bCs/>
          <w:sz w:val="28"/>
          <w:szCs w:val="28"/>
          <w:rtl/>
        </w:rPr>
        <w:t xml:space="preserve">خاتمة </w:t>
      </w:r>
    </w:p>
    <w:p w14:paraId="46CF2D84" w14:textId="77777777" w:rsidR="009808BE" w:rsidRPr="009808BE" w:rsidRDefault="009808BE" w:rsidP="009808BE">
      <w:pPr>
        <w:bidi/>
        <w:jc w:val="both"/>
        <w:rPr>
          <w:rFonts w:ascii="Sakkal Majalla" w:hAnsi="Sakkal Majalla" w:cs="Sakkal Majalla"/>
          <w:sz w:val="28"/>
          <w:szCs w:val="28"/>
        </w:rPr>
      </w:pPr>
      <w:r w:rsidRPr="009808BE">
        <w:rPr>
          <w:rFonts w:ascii="Sakkal Majalla" w:hAnsi="Sakkal Majalla" w:cs="Sakkal Majalla"/>
          <w:sz w:val="28"/>
          <w:szCs w:val="28"/>
          <w:rtl/>
        </w:rPr>
        <w:t>يتبين من خلال دراسة المادة 39 من قانون العقوبات الجزائري أن المشرّع لم يكتفِ بتحديد الأفعال المجرّمة، بل حرص كذلك على بيان الحالات التي تنتفي فيها الصفة الإجرامية عن بعض الأفعال تحقيقًا للتوازن بين حماية النظام العام وضمان الحقوق والحريات الفردية. وتبرز أهمية هذه المادة في تكريسها لفكرة المشروعية الجنائية من جهة، واعترافها بوجود مصالح اجتماعية وقانونية تبرر في بعض الأحيان ارتكاب أفعال تبدو مجرّمة في ظاهرها من جهة أخرى. كما أن أسباب الإباحة، سواء تعلقت بتنفيذ القانون أو بممارسة الحق أو بالدفاع الشرعي، تمثل ضمانة قانونية تحول دون التوسع غير المشروع في التجريم والعقاب، وتؤكد أن الغاية الأساسية للقانون الجزائي ليست العقاب في حد ذاته، وإنما تحقيق العدالة وحماية المصلحة الاجتماعية</w:t>
      </w:r>
      <w:r w:rsidRPr="009808BE">
        <w:rPr>
          <w:rFonts w:ascii="Sakkal Majalla" w:hAnsi="Sakkal Majalla" w:cs="Sakkal Majalla"/>
          <w:sz w:val="28"/>
          <w:szCs w:val="28"/>
        </w:rPr>
        <w:t>.</w:t>
      </w:r>
    </w:p>
    <w:p w14:paraId="3B70758D" w14:textId="77777777" w:rsidR="006F28CF" w:rsidRPr="009808BE" w:rsidRDefault="006F28CF" w:rsidP="009808BE">
      <w:pPr>
        <w:bidi/>
      </w:pPr>
    </w:p>
    <w:sectPr w:rsidR="006F28CF" w:rsidRPr="009808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20D6"/>
    <w:multiLevelType w:val="multilevel"/>
    <w:tmpl w:val="D246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B2E3B"/>
    <w:multiLevelType w:val="multilevel"/>
    <w:tmpl w:val="B684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02BCE"/>
    <w:multiLevelType w:val="multilevel"/>
    <w:tmpl w:val="4E3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782223">
    <w:abstractNumId w:val="2"/>
  </w:num>
  <w:num w:numId="2" w16cid:durableId="1977948017">
    <w:abstractNumId w:val="1"/>
  </w:num>
  <w:num w:numId="3" w16cid:durableId="70610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A0"/>
    <w:rsid w:val="00597CA0"/>
    <w:rsid w:val="006F28CF"/>
    <w:rsid w:val="008A391D"/>
    <w:rsid w:val="009808BE"/>
    <w:rsid w:val="009B58E8"/>
    <w:rsid w:val="00D53B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75ED"/>
  <w15:chartTrackingRefBased/>
  <w15:docId w15:val="{1EF88104-9883-4D4E-8492-F313E567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7C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597C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597CA0"/>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597CA0"/>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597CA0"/>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597C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7C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7C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7C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7CA0"/>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597CA0"/>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597CA0"/>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597CA0"/>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597CA0"/>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597C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7C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7C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7CA0"/>
    <w:rPr>
      <w:rFonts w:eastAsiaTheme="majorEastAsia" w:cstheme="majorBidi"/>
      <w:color w:val="272727" w:themeColor="text1" w:themeTint="D8"/>
    </w:rPr>
  </w:style>
  <w:style w:type="paragraph" w:styleId="Titre">
    <w:name w:val="Title"/>
    <w:basedOn w:val="Normal"/>
    <w:next w:val="Normal"/>
    <w:link w:val="TitreCar"/>
    <w:uiPriority w:val="10"/>
    <w:qFormat/>
    <w:rsid w:val="00597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C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7C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7C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7CA0"/>
    <w:pPr>
      <w:spacing w:before="160"/>
      <w:jc w:val="center"/>
    </w:pPr>
    <w:rPr>
      <w:i/>
      <w:iCs/>
      <w:color w:val="404040" w:themeColor="text1" w:themeTint="BF"/>
    </w:rPr>
  </w:style>
  <w:style w:type="character" w:customStyle="1" w:styleId="CitationCar">
    <w:name w:val="Citation Car"/>
    <w:basedOn w:val="Policepardfaut"/>
    <w:link w:val="Citation"/>
    <w:uiPriority w:val="29"/>
    <w:rsid w:val="00597CA0"/>
    <w:rPr>
      <w:i/>
      <w:iCs/>
      <w:color w:val="404040" w:themeColor="text1" w:themeTint="BF"/>
    </w:rPr>
  </w:style>
  <w:style w:type="paragraph" w:styleId="Paragraphedeliste">
    <w:name w:val="List Paragraph"/>
    <w:basedOn w:val="Normal"/>
    <w:uiPriority w:val="34"/>
    <w:qFormat/>
    <w:rsid w:val="00597CA0"/>
    <w:pPr>
      <w:ind w:left="720"/>
      <w:contextualSpacing/>
    </w:pPr>
  </w:style>
  <w:style w:type="character" w:styleId="Accentuationintense">
    <w:name w:val="Intense Emphasis"/>
    <w:basedOn w:val="Policepardfaut"/>
    <w:uiPriority w:val="21"/>
    <w:qFormat/>
    <w:rsid w:val="00597CA0"/>
    <w:rPr>
      <w:i/>
      <w:iCs/>
      <w:color w:val="2E74B5" w:themeColor="accent1" w:themeShade="BF"/>
    </w:rPr>
  </w:style>
  <w:style w:type="paragraph" w:styleId="Citationintense">
    <w:name w:val="Intense Quote"/>
    <w:basedOn w:val="Normal"/>
    <w:next w:val="Normal"/>
    <w:link w:val="CitationintenseCar"/>
    <w:uiPriority w:val="30"/>
    <w:qFormat/>
    <w:rsid w:val="00597C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597CA0"/>
    <w:rPr>
      <w:i/>
      <w:iCs/>
      <w:color w:val="2E74B5" w:themeColor="accent1" w:themeShade="BF"/>
    </w:rPr>
  </w:style>
  <w:style w:type="character" w:styleId="Rfrenceintense">
    <w:name w:val="Intense Reference"/>
    <w:basedOn w:val="Policepardfaut"/>
    <w:uiPriority w:val="32"/>
    <w:qFormat/>
    <w:rsid w:val="00597CA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948</Words>
  <Characters>5217</Characters>
  <Application>Microsoft Office Word</Application>
  <DocSecurity>0</DocSecurity>
  <Lines>43</Lines>
  <Paragraphs>12</Paragraphs>
  <ScaleCrop>false</ScaleCrop>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2026-05-12T07:48:00Z</dcterms:created>
  <dcterms:modified xsi:type="dcterms:W3CDTF">2026-05-12T07:50:00Z</dcterms:modified>
</cp:coreProperties>
</file>