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F77D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Université A/Mira- Bejaia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4C3A017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Faculté des sciences de la nature et de la vie</w:t>
      </w:r>
      <w:r>
        <w:rPr>
          <w:rFonts w:ascii="Times New Roman" w:hAnsi="Times New Roman" w:cs="Times New Roman"/>
          <w:b/>
          <w:bCs/>
          <w:sz w:val="24"/>
          <w:szCs w:val="24"/>
        </w:rPr>
        <w:tab/>
      </w:r>
    </w:p>
    <w:p w14:paraId="1B5241D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Département de biologie physico-chimique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928BC70">
      <w:pPr>
        <w:tabs>
          <w:tab w:val="left" w:pos="1320"/>
          <w:tab w:val="left" w:pos="1710"/>
          <w:tab w:val="left" w:pos="213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Master I Pharmaco-toxicologie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3910863A">
      <w:pPr>
        <w:pBdr>
          <w:bottom w:val="single" w:color="auto" w:sz="4" w:space="1"/>
        </w:pBd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TP : Chimie Thérapeutique</w:t>
      </w:r>
    </w:p>
    <w:p w14:paraId="2AF60DBB">
      <w:pPr>
        <w:spacing w:after="0" w:line="240" w:lineRule="auto"/>
        <w:jc w:val="both"/>
        <w:rPr>
          <w:rFonts w:hint="default" w:ascii="Times New Roman" w:hAnsi="Times New Roman" w:cs="Times New Roman"/>
          <w:b/>
          <w:bCs/>
          <w:sz w:val="4"/>
          <w:szCs w:val="4"/>
          <w:lang w:val="fr-FR"/>
        </w:rPr>
      </w:pPr>
    </w:p>
    <w:p w14:paraId="36B0FC29">
      <w:pPr>
        <w:spacing w:beforeLines="0" w:afterLines="0"/>
        <w:jc w:val="left"/>
        <w:rPr>
          <w:rFonts w:hint="default" w:ascii="Times New Roman" w:hAnsi="Times New Roman" w:cs="Times New Roman"/>
          <w:color w:val="000000"/>
          <w:sz w:val="4"/>
          <w:szCs w:val="4"/>
        </w:rPr>
      </w:pPr>
    </w:p>
    <w:p w14:paraId="561A7173">
      <w:pPr>
        <w:spacing w:beforeLines="0" w:afterLines="0"/>
        <w:jc w:val="center"/>
        <w:rPr>
          <w:rFonts w:hint="default" w:ascii="Times New Roman" w:hAnsi="Times New Roman" w:cs="Times New Roman"/>
          <w:b/>
          <w:bCs/>
          <w:color w:val="000000"/>
          <w:sz w:val="28"/>
          <w:szCs w:val="28"/>
        </w:rPr>
      </w:pPr>
      <w:r>
        <w:rPr>
          <w:rFonts w:hint="default" w:ascii="Times New Roman" w:hAnsi="Times New Roman" w:cs="Times New Roman"/>
          <w:b/>
          <w:bCs/>
          <w:color w:val="000000"/>
          <w:sz w:val="28"/>
          <w:szCs w:val="28"/>
          <w:lang w:val="fr-FR"/>
        </w:rPr>
        <w:t>Ev</w:t>
      </w:r>
      <w:r>
        <w:rPr>
          <w:rFonts w:hint="default" w:ascii="Times New Roman" w:hAnsi="Times New Roman" w:cs="Times New Roman"/>
          <w:b/>
          <w:bCs/>
          <w:color w:val="000000"/>
          <w:sz w:val="28"/>
          <w:szCs w:val="28"/>
        </w:rPr>
        <w:t>aluation de l’Activit</w:t>
      </w:r>
      <w:r>
        <w:rPr>
          <w:rFonts w:hint="default" w:ascii="Times New Roman" w:hAnsi="Times New Roman" w:cs="Times New Roman"/>
          <w:b/>
          <w:bCs/>
          <w:color w:val="000000"/>
          <w:sz w:val="28"/>
          <w:szCs w:val="28"/>
          <w:lang w:val="fr-FR"/>
        </w:rPr>
        <w:t xml:space="preserve">é </w:t>
      </w:r>
      <w:r>
        <w:rPr>
          <w:rFonts w:hint="default" w:ascii="Times New Roman" w:hAnsi="Times New Roman" w:cs="Times New Roman"/>
          <w:b/>
          <w:bCs/>
          <w:color w:val="000000"/>
          <w:sz w:val="28"/>
          <w:szCs w:val="28"/>
        </w:rPr>
        <w:t>Antioxydante</w:t>
      </w:r>
    </w:p>
    <w:p w14:paraId="443BC555">
      <w:pPr>
        <w:pStyle w:val="9"/>
        <w:spacing w:after="0" w:line="240" w:lineRule="auto"/>
        <w:jc w:val="center"/>
        <w:rPr>
          <w:rFonts w:hint="default" w:ascii="Times New Roman" w:hAnsi="Times New Roman" w:cs="Times New Roman"/>
          <w:b/>
          <w:bCs/>
          <w:sz w:val="24"/>
          <w:szCs w:val="24"/>
        </w:rPr>
      </w:pPr>
      <w:r>
        <w:rPr>
          <w:rFonts w:hint="default" w:ascii="Times New Roman" w:hAnsi="Times New Roman" w:eastAsia="SimSun" w:cs="Times New Roman"/>
          <w:b/>
          <w:bCs/>
          <w:sz w:val="24"/>
          <w:szCs w:val="24"/>
        </w:rPr>
        <w:t>Détermination spectrophotométrique du pouvoir réducteur</w:t>
      </w:r>
    </w:p>
    <w:p w14:paraId="60E3E9E1">
      <w:pPr>
        <w:pStyle w:val="3"/>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Définition</w:t>
      </w:r>
    </w:p>
    <w:p w14:paraId="383B8F04">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Le </w:t>
      </w:r>
      <w:r>
        <w:rPr>
          <w:rStyle w:val="6"/>
          <w:rFonts w:hint="default" w:ascii="Times New Roman" w:hAnsi="Times New Roman" w:cs="Times New Roman"/>
          <w:sz w:val="24"/>
          <w:szCs w:val="24"/>
        </w:rPr>
        <w:t>pouvoir réducteur</w:t>
      </w:r>
      <w:r>
        <w:rPr>
          <w:rFonts w:hint="default" w:ascii="Times New Roman" w:hAnsi="Times New Roman" w:cs="Times New Roman"/>
          <w:sz w:val="24"/>
          <w:szCs w:val="24"/>
        </w:rPr>
        <w:t xml:space="preserve"> représente la capacité d’une substance à réduire une espèce chimique oxydée en lui cédant des électrons. Cette propriété constitue l’un des paramètres utilisés pour évaluer le potentiel antioxydant d’un composé.</w:t>
      </w:r>
    </w:p>
    <w:p w14:paraId="36564656">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Dans ce TP, le pouvoir réducteur des substances étudiées est évalué par leur capacité à </w:t>
      </w:r>
      <w:r>
        <w:rPr>
          <w:rStyle w:val="6"/>
          <w:rFonts w:hint="default" w:ascii="Times New Roman" w:hAnsi="Times New Roman" w:cs="Times New Roman"/>
          <w:sz w:val="24"/>
          <w:szCs w:val="24"/>
        </w:rPr>
        <w:t>réduire les ions ferriques Fe³⁺ en ions ferreux Fe²⁺</w:t>
      </w:r>
      <w:r>
        <w:rPr>
          <w:rFonts w:hint="default" w:ascii="Times New Roman" w:hAnsi="Times New Roman" w:cs="Times New Roman"/>
          <w:sz w:val="24"/>
          <w:szCs w:val="24"/>
        </w:rPr>
        <w:t xml:space="preserve">. Les ions Fe²⁺ formés donnent, en présence de ferricyanure de potassium et de chlorure ferrique, un complexe coloré dont l’intensité est mesurée par spectrophotométrie à </w:t>
      </w:r>
      <w:r>
        <w:rPr>
          <w:rStyle w:val="6"/>
          <w:rFonts w:hint="default" w:ascii="Times New Roman" w:hAnsi="Times New Roman" w:cs="Times New Roman"/>
          <w:sz w:val="24"/>
          <w:szCs w:val="24"/>
        </w:rPr>
        <w:t>700 nm</w:t>
      </w:r>
      <w:r>
        <w:rPr>
          <w:rFonts w:hint="default" w:ascii="Times New Roman" w:hAnsi="Times New Roman" w:cs="Times New Roman"/>
          <w:sz w:val="24"/>
          <w:szCs w:val="24"/>
        </w:rPr>
        <w:t>.</w:t>
      </w:r>
    </w:p>
    <w:p w14:paraId="77B9CD2B">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Une augmentation de l’absorbance traduit une augmentation du pouvoir réducteur de l’échantillon dans les conditions expérimentales utilisées.</w:t>
      </w:r>
    </w:p>
    <w:p w14:paraId="6B938B7E">
      <w:pPr>
        <w:pStyle w:val="3"/>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Objectifs</w:t>
      </w:r>
    </w:p>
    <w:p w14:paraId="31998C90">
      <w:pPr>
        <w:pStyle w:val="7"/>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À l’issue de ce TP, l’étudiant doit être capable de :</w:t>
      </w:r>
    </w:p>
    <w:p w14:paraId="398C27FA">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comprendre le principe du pouvoir réducteur comme indicateur du potentiel antioxydant ; </w:t>
      </w:r>
    </w:p>
    <w:p w14:paraId="24F64D87">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mettre en évidence la capacité réductrice d’un composé ou d’un extrait ; </w:t>
      </w:r>
    </w:p>
    <w:p w14:paraId="501BEC7F">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préparer différentes concentrations d’une solution à étudier ; </w:t>
      </w:r>
    </w:p>
    <w:p w14:paraId="2B1C975D">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réaliser un dosage spectrophotométrique ; </w:t>
      </w:r>
    </w:p>
    <w:p w14:paraId="0C72B302">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mesurer l’absorbance à </w:t>
      </w:r>
      <w:r>
        <w:rPr>
          <w:rStyle w:val="6"/>
          <w:rFonts w:hint="default" w:ascii="Times New Roman" w:hAnsi="Times New Roman" w:cs="Times New Roman"/>
          <w:sz w:val="24"/>
          <w:szCs w:val="24"/>
        </w:rPr>
        <w:t>700 nm</w:t>
      </w:r>
      <w:r>
        <w:rPr>
          <w:rFonts w:hint="default" w:ascii="Times New Roman" w:hAnsi="Times New Roman" w:cs="Times New Roman"/>
          <w:sz w:val="24"/>
          <w:szCs w:val="24"/>
        </w:rPr>
        <w:t xml:space="preserve"> ; </w:t>
      </w:r>
    </w:p>
    <w:p w14:paraId="54EAAED1">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étudier l’évolution du pouvoir réducteur en fonction de la concentration ; </w:t>
      </w:r>
    </w:p>
    <w:p w14:paraId="6DFE5602">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comparer l’activité de l’échantillon à celle d’un antioxydant de référence, tel que </w:t>
      </w:r>
      <w:r>
        <w:rPr>
          <w:rStyle w:val="6"/>
          <w:rFonts w:hint="default" w:ascii="Times New Roman" w:hAnsi="Times New Roman" w:cs="Times New Roman"/>
          <w:sz w:val="24"/>
          <w:szCs w:val="24"/>
        </w:rPr>
        <w:t>l’acide ascorbique</w:t>
      </w:r>
      <w:r>
        <w:rPr>
          <w:rFonts w:hint="default" w:ascii="Times New Roman" w:hAnsi="Times New Roman" w:cs="Times New Roman"/>
          <w:sz w:val="24"/>
          <w:szCs w:val="24"/>
        </w:rPr>
        <w:t xml:space="preserve">. </w:t>
      </w:r>
    </w:p>
    <w:p w14:paraId="439CFBBD">
      <w:pPr>
        <w:keepNext w:val="0"/>
        <w:keepLines w:val="0"/>
        <w:widowControl/>
        <w:suppressLineNumbers w:val="0"/>
      </w:pPr>
    </w:p>
    <w:p w14:paraId="4B857422">
      <w:pPr>
        <w:keepNext w:val="0"/>
        <w:keepLines w:val="0"/>
        <w:widowControl/>
        <w:suppressLineNumbers w:val="0"/>
      </w:pPr>
    </w:p>
    <w:p w14:paraId="5A4DE93D">
      <w:pPr>
        <w:keepNext w:val="0"/>
        <w:keepLines w:val="0"/>
        <w:widowControl/>
        <w:suppressLineNumbers w:val="0"/>
      </w:pPr>
      <w:bookmarkStart w:id="0" w:name="_GoBack"/>
      <w:bookmarkEnd w:id="0"/>
    </w:p>
    <w:p w14:paraId="5426720A">
      <w:pPr>
        <w:pStyle w:val="2"/>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Matériels</w:t>
      </w:r>
    </w:p>
    <w:p w14:paraId="798BE157">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Spectrophotomètre UV-Visible </w:t>
      </w:r>
    </w:p>
    <w:p w14:paraId="050DE291">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Cuvettes spectrophotométriques </w:t>
      </w:r>
    </w:p>
    <w:p w14:paraId="11282EE4">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Tubes à essai </w:t>
      </w:r>
    </w:p>
    <w:p w14:paraId="5C265BAC">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Portoir à tubes </w:t>
      </w:r>
    </w:p>
    <w:p w14:paraId="22D074F6">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Micropipettes </w:t>
      </w:r>
    </w:p>
    <w:p w14:paraId="6F674FB0">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Embouts de micropipettes </w:t>
      </w:r>
    </w:p>
    <w:p w14:paraId="4A9E94B9">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Pipettes graduées </w:t>
      </w:r>
    </w:p>
    <w:p w14:paraId="1A3BB87F">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Fioles jaugées </w:t>
      </w:r>
    </w:p>
    <w:p w14:paraId="390D43C5">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Bécher </w:t>
      </w:r>
    </w:p>
    <w:p w14:paraId="014952B3">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Éprouvette graduée </w:t>
      </w:r>
    </w:p>
    <w:p w14:paraId="03157FF3">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Vortex </w:t>
      </w:r>
    </w:p>
    <w:p w14:paraId="3E9C0EB7">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Bain-marie réglé à </w:t>
      </w:r>
      <w:r>
        <w:rPr>
          <w:rStyle w:val="6"/>
          <w:rFonts w:hint="default" w:ascii="Times New Roman" w:hAnsi="Times New Roman" w:cs="Times New Roman"/>
          <w:sz w:val="24"/>
          <w:szCs w:val="24"/>
        </w:rPr>
        <w:t>50 °C</w:t>
      </w:r>
      <w:r>
        <w:rPr>
          <w:rFonts w:hint="default" w:ascii="Times New Roman" w:hAnsi="Times New Roman" w:cs="Times New Roman"/>
          <w:sz w:val="24"/>
          <w:szCs w:val="24"/>
        </w:rPr>
        <w:t xml:space="preserve"> </w:t>
      </w:r>
    </w:p>
    <w:p w14:paraId="7C95ADCE">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Centrifugeuse, si disponible </w:t>
      </w:r>
    </w:p>
    <w:p w14:paraId="2AB854E1">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Balance analytique </w:t>
      </w:r>
    </w:p>
    <w:p w14:paraId="17D7570E">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Spatule </w:t>
      </w:r>
    </w:p>
    <w:p w14:paraId="3EA84775">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Papier aluminium ou parafilm </w:t>
      </w:r>
    </w:p>
    <w:p w14:paraId="3D5FF926">
      <w:pPr>
        <w:pStyle w:val="2"/>
        <w:keepNext w:val="0"/>
        <w:keepLines w:val="0"/>
        <w:widowControl/>
        <w:suppressLineNumbers w:val="0"/>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Produits chimiques</w:t>
      </w:r>
    </w:p>
    <w:p w14:paraId="6B0A5508">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Style w:val="6"/>
          <w:rFonts w:hint="default" w:ascii="Times New Roman" w:hAnsi="Times New Roman" w:cs="Times New Roman"/>
          <w:sz w:val="24"/>
          <w:szCs w:val="24"/>
        </w:rPr>
        <w:t>Échantillon à étudier</w:t>
      </w:r>
      <w:r>
        <w:rPr>
          <w:rFonts w:hint="default" w:ascii="Times New Roman" w:hAnsi="Times New Roman" w:cs="Times New Roman"/>
          <w:sz w:val="24"/>
          <w:szCs w:val="24"/>
        </w:rPr>
        <w:t xml:space="preserve"> : extrait, composé ou principe actif </w:t>
      </w:r>
    </w:p>
    <w:p w14:paraId="6E32CD22">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Style w:val="6"/>
          <w:rFonts w:hint="default" w:ascii="Times New Roman" w:hAnsi="Times New Roman" w:cs="Times New Roman"/>
          <w:sz w:val="24"/>
          <w:szCs w:val="24"/>
        </w:rPr>
        <w:t>Acide ascorbique</w:t>
      </w:r>
      <w:r>
        <w:rPr>
          <w:rFonts w:hint="default" w:ascii="Times New Roman" w:hAnsi="Times New Roman" w:cs="Times New Roman"/>
          <w:sz w:val="24"/>
          <w:szCs w:val="24"/>
        </w:rPr>
        <w:t xml:space="preserve"> : antioxydant de référence </w:t>
      </w:r>
    </w:p>
    <w:p w14:paraId="359C29EE">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Tampon phosphate </w:t>
      </w:r>
      <w:r>
        <w:rPr>
          <w:rStyle w:val="6"/>
          <w:rFonts w:hint="default" w:ascii="Times New Roman" w:hAnsi="Times New Roman" w:cs="Times New Roman"/>
          <w:sz w:val="24"/>
          <w:szCs w:val="24"/>
        </w:rPr>
        <w:t>0,2 M, pH 6,6</w:t>
      </w:r>
      <w:r>
        <w:rPr>
          <w:rFonts w:hint="default" w:ascii="Times New Roman" w:hAnsi="Times New Roman" w:cs="Times New Roman"/>
          <w:sz w:val="24"/>
          <w:szCs w:val="24"/>
        </w:rPr>
        <w:t xml:space="preserve"> </w:t>
      </w:r>
    </w:p>
    <w:p w14:paraId="3AC7E5EC">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Ferricyanure de potassium </w:t>
      </w:r>
      <w:r>
        <w:rPr>
          <w:rStyle w:val="6"/>
          <w:rFonts w:hint="default" w:ascii="Times New Roman" w:hAnsi="Times New Roman" w:cs="Times New Roman"/>
          <w:sz w:val="24"/>
          <w:szCs w:val="24"/>
        </w:rPr>
        <w:t>K₃[Fe(CN)₆] à 1 %</w:t>
      </w:r>
      <w:r>
        <w:rPr>
          <w:rFonts w:hint="default" w:ascii="Times New Roman" w:hAnsi="Times New Roman" w:cs="Times New Roman"/>
          <w:sz w:val="24"/>
          <w:szCs w:val="24"/>
        </w:rPr>
        <w:t xml:space="preserve"> </w:t>
      </w:r>
    </w:p>
    <w:p w14:paraId="401165BB">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Acide trichloroacétique (</w:t>
      </w:r>
      <w:r>
        <w:rPr>
          <w:rStyle w:val="6"/>
          <w:rFonts w:hint="default" w:ascii="Times New Roman" w:hAnsi="Times New Roman" w:cs="Times New Roman"/>
          <w:sz w:val="24"/>
          <w:szCs w:val="24"/>
        </w:rPr>
        <w:t>TCA</w:t>
      </w:r>
      <w:r>
        <w:rPr>
          <w:rFonts w:hint="default" w:ascii="Times New Roman" w:hAnsi="Times New Roman" w:cs="Times New Roman"/>
          <w:sz w:val="24"/>
          <w:szCs w:val="24"/>
        </w:rPr>
        <w:t xml:space="preserve">) à </w:t>
      </w:r>
      <w:r>
        <w:rPr>
          <w:rStyle w:val="6"/>
          <w:rFonts w:hint="default" w:ascii="Times New Roman" w:hAnsi="Times New Roman" w:cs="Times New Roman"/>
          <w:sz w:val="24"/>
          <w:szCs w:val="24"/>
        </w:rPr>
        <w:t>10 %</w:t>
      </w:r>
      <w:r>
        <w:rPr>
          <w:rFonts w:hint="default" w:ascii="Times New Roman" w:hAnsi="Times New Roman" w:cs="Times New Roman"/>
          <w:sz w:val="24"/>
          <w:szCs w:val="24"/>
        </w:rPr>
        <w:t xml:space="preserve"> </w:t>
      </w:r>
    </w:p>
    <w:p w14:paraId="54FE08D0">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Chlorure ferrique (</w:t>
      </w:r>
      <w:r>
        <w:rPr>
          <w:rStyle w:val="6"/>
          <w:rFonts w:hint="default" w:ascii="Times New Roman" w:hAnsi="Times New Roman" w:cs="Times New Roman"/>
          <w:sz w:val="24"/>
          <w:szCs w:val="24"/>
        </w:rPr>
        <w:t>FeCl₃</w:t>
      </w:r>
      <w:r>
        <w:rPr>
          <w:rFonts w:hint="default" w:ascii="Times New Roman" w:hAnsi="Times New Roman" w:cs="Times New Roman"/>
          <w:sz w:val="24"/>
          <w:szCs w:val="24"/>
        </w:rPr>
        <w:t xml:space="preserve">) à </w:t>
      </w:r>
      <w:r>
        <w:rPr>
          <w:rStyle w:val="6"/>
          <w:rFonts w:hint="default" w:ascii="Times New Roman" w:hAnsi="Times New Roman" w:cs="Times New Roman"/>
          <w:sz w:val="24"/>
          <w:szCs w:val="24"/>
        </w:rPr>
        <w:t>0,1 %</w:t>
      </w:r>
      <w:r>
        <w:rPr>
          <w:rFonts w:hint="default" w:ascii="Times New Roman" w:hAnsi="Times New Roman" w:cs="Times New Roman"/>
          <w:sz w:val="24"/>
          <w:szCs w:val="24"/>
        </w:rPr>
        <w:t xml:space="preserve"> </w:t>
      </w:r>
    </w:p>
    <w:p w14:paraId="4E935036">
      <w:pPr>
        <w:keepNext w:val="0"/>
        <w:keepLines w:val="0"/>
        <w:widowControl/>
        <w:numPr>
          <w:ilvl w:val="0"/>
          <w:numId w:val="3"/>
        </w:numPr>
        <w:suppressLineNumbers w:val="0"/>
        <w:spacing w:before="0" w:beforeAutospacing="1" w:after="0" w:afterAutospacing="1" w:line="360" w:lineRule="auto"/>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Eau distillée</w:t>
      </w:r>
    </w:p>
    <w:p w14:paraId="32E698D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Protocole</w:t>
      </w:r>
    </w:p>
    <w:p w14:paraId="0E0009BA">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Préparer une solution mère de l’échantillon à étudier à une concentration de 1 mg/mL, puis réaliser une série de dilutions afin d’obtenir différentes concentrations (0,025 ; 0,050 ; 0,100 ; 0,200 et 0,400 mg/mL). Pour chaque concentration, introduire dans un tube à essai 1 mL de la solution de l’échantillon, 1 mL de tampon phosphate 0,2 M (pH 6,6) et 1 mL de ferricyanure de potassium à 1 %. Homogénéiser les mélanges puis les incuber au bain-marie à 50 °C pendant 20 minutes. Après incubation, ajouter 1 mL d’acide trichloroacétique (TCA) à 10 % et homogénéiser. Après centrifugation, si nécessaire, prélever 2,5 mL du surnageant et ajouter 2,5 mL d’eau distillée et 0,5 mL de chlorure ferrique (FeCl₃) à 0,1 %. Après homogénéisation, mesurer l’absorbance des solutions à 700 nm contre un blanc préparé dans les mêmes conditions en remplaçant l’échantillon par de l’eau distillée. Réaliser les mesures au moins en triplicat, calculer l’absorbance moyenne pour chaque concentration et tracer la courbe représentant l’absorbance à 700 nm en fonction de la concentration de l’échantillon. Une augmentation de l’absorbance traduit une augmentation du pouvoir réducteur de l’échantillon.</w:t>
      </w:r>
    </w:p>
    <w:p w14:paraId="5DF58A54"/>
    <w:sectPr>
      <w:pgSz w:w="11906" w:h="16838"/>
      <w:pgMar w:top="1134" w:right="1417" w:bottom="1134" w:left="1417"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582259"/>
    <w:multiLevelType w:val="multilevel"/>
    <w:tmpl w:val="5D58225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7124D08A"/>
    <w:multiLevelType w:val="multilevel"/>
    <w:tmpl w:val="7124D08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7CC98904"/>
    <w:multiLevelType w:val="multilevel"/>
    <w:tmpl w:val="7CC9890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71000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Balloon Text"/>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Arial"/>
      <w:sz w:val="22"/>
      <w:szCs w:val="22"/>
      <w:lang w:val="fr-FR"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5">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character" w:styleId="6">
    <w:name w:val="Strong"/>
    <w:qFormat/>
    <w:uiPriority w:val="22"/>
    <w:rPr>
      <w:b/>
      <w:bCs/>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9">
    <w:name w:val="List Paragraph"/>
    <w:basedOn w:val="1"/>
    <w:qFormat/>
    <w:uiPriority w:val="34"/>
    <w:pPr>
      <w:ind w:left="720"/>
      <w:contextualSpacing/>
    </w:pPr>
  </w:style>
  <w:style w:type="paragraph" w:customStyle="1" w:styleId="10">
    <w:name w:val="Default"/>
    <w:qFormat/>
    <w:uiPriority w:val="0"/>
    <w:pPr>
      <w:autoSpaceDE w:val="0"/>
      <w:autoSpaceDN w:val="0"/>
      <w:adjustRightInd w:val="0"/>
    </w:pPr>
    <w:rPr>
      <w:rFonts w:ascii="Calibri" w:hAnsi="Calibri" w:eastAsia="Calibri" w:cs="Calibri"/>
      <w:color w:val="000000"/>
      <w:sz w:val="24"/>
      <w:szCs w:val="24"/>
      <w:lang w:val="fr-FR"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2026-09-30T17:40:00Z</dcterms:created>
  <dc:creator>WPS_1776545742</dc:creator>
  <cp:lastModifiedBy>WPS_1776545742</cp:lastModifiedBy>
  <dcterms:modified xsi:type="dcterms:W3CDTF">2026-09-30T17:57:08Z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1036-12.1.0.28485</vt:lpwstr>
  </property>
  <property fmtid="{D5CDD505-2E9C-101B-9397-08002B2CF9AE}" pid="3" name="ICV">
    <vt:lpwstr>272FEEBDB9F046CA86E8C840B9049982_11</vt:lpwstr>
  </property>
  <property fmtid="{D5CDD505-2E9C-101B-9397-08002B2CF9AE}" pid="4" name="KSOTemplateDocerSaveRecord">
    <vt:lpwstr>eyJoZGlkIjoiY2UxNTRmYTMzMmU0Njc3YjYxOWQ3MWVmYjA3NTUxOGYiLCJ1c2VySWQiOiIxNTUzMDYwMjc0OTkwNyJ9</vt:lpwstr>
  </property>
</Properties>
</file>