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B058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Bibliographie : </w:t>
      </w:r>
    </w:p>
    <w:p w:rsidR="00FB0589" w:rsidRPr="00FB0589" w:rsidRDefault="00FB0589" w:rsidP="00FB05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589">
        <w:rPr>
          <w:rFonts w:ascii="Times New Roman" w:eastAsia="Calibri" w:hAnsi="Times New Roman" w:cs="Times New Roman"/>
          <w:sz w:val="24"/>
          <w:szCs w:val="24"/>
        </w:rPr>
        <w:t>Amiel-Tison C., Gosselin J. (2009). Démarche clinique en neurologie du développement. Elsevier Masson S.A.S. Paris</w:t>
      </w:r>
    </w:p>
    <w:p w:rsidR="00FB0589" w:rsidRPr="00FB0589" w:rsidRDefault="00FB0589" w:rsidP="00FB058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Carlier S. (2021). Troubles du spectre de l'autisme chez l’enfant, Editions </w:t>
      </w: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Mardaga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>. Bruxelles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Cuilleret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>, M. (2007). Trisomie et handicaps génétiques associés. Elsevier Masson SAS.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DSM V, (2013). American </w:t>
      </w: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psychological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associaciation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Dalla Piazza S., Dan B. (2001).. Handicaps et déficiences de l’enfant. De </w:t>
      </w: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boeck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Grobois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>, N. (2020). Psychologie des handicaps (2 édition). De Boeck Supérieur.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Guidetti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, M. &amp; Tourette, C. (2014). Handicaps et développement psychologique. </w:t>
      </w: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Dunod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 Editeur.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589">
        <w:rPr>
          <w:rFonts w:ascii="Times New Roman" w:eastAsia="Calibri" w:hAnsi="Times New Roman" w:cs="Times New Roman"/>
          <w:color w:val="000000"/>
          <w:sz w:val="24"/>
          <w:szCs w:val="24"/>
        </w:rPr>
        <w:t>Guideney</w:t>
      </w:r>
      <w:proofErr w:type="spellEnd"/>
      <w:r w:rsidRPr="00FB0589">
        <w:rPr>
          <w:rFonts w:ascii="Times New Roman" w:eastAsia="Calibri" w:hAnsi="Times New Roman" w:cs="Times New Roman"/>
          <w:color w:val="000000"/>
          <w:sz w:val="24"/>
          <w:szCs w:val="24"/>
        </w:rPr>
        <w:t>, A. (2010). Petite enfance et psychopathologie. Elsevier.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Lebovici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, S., </w:t>
      </w: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Diatkine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>, R., Soulé, M. (2004). Nouveau Traité de Psychiatrie de l’enfant et de l’adolescent. Presses Universitaires de France.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Miljkovitch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, R. &amp; </w:t>
      </w: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Morange-Majoux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>, F. (2004). Psychologie du développement. Elsevier.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89">
        <w:rPr>
          <w:rFonts w:ascii="Times New Roman" w:eastAsia="Calibri" w:hAnsi="Times New Roman" w:cs="Times New Roman"/>
          <w:sz w:val="24"/>
          <w:szCs w:val="24"/>
        </w:rPr>
        <w:t>O.M.S &amp; Banque Mondiale (2011). Rapport mondial sur le handicap. Bibliothèque de l’OMS.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89">
        <w:rPr>
          <w:rFonts w:ascii="Times New Roman" w:eastAsia="Calibri" w:hAnsi="Times New Roman" w:cs="Times New Roman"/>
          <w:sz w:val="24"/>
          <w:szCs w:val="24"/>
        </w:rPr>
        <w:t>O.M.S (2013). Développement de la petite enfance et handicap. Bibliothèque de l’O.M.S.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89">
        <w:rPr>
          <w:rFonts w:ascii="Times New Roman" w:eastAsia="Calibri" w:hAnsi="Times New Roman" w:cs="Times New Roman"/>
          <w:sz w:val="24"/>
          <w:szCs w:val="24"/>
        </w:rPr>
        <w:t>O.N.S Office National des Statistiques.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Petot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, Dj. (2010). L’évaluation en psychopathologie de l’enfant. 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Philip C., </w:t>
      </w: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Magerotte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 G., Adrien J.L. (2012). Scolariser des élèves avec autisme et </w:t>
      </w: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TED.Dunod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 Paris.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Rabischong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>, P. (2015). Le handicap. Presses Universitaires de France.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Raynaud J. P. &amp; Scelles, R. (2013). Psychopathologie et handicap de l’enfant et de l’adolescent p.54. Editions </w:t>
      </w: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érès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>, Toulouse : France.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Scelles, R. &amp; Petitpierre G. (2013). Polyhandicap : processus d’évaluation cognitive. </w:t>
      </w: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Dunod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B0589">
        <w:rPr>
          <w:rFonts w:ascii="Times New Roman" w:eastAsia="Calibri" w:hAnsi="Times New Roman" w:cs="Times New Roman"/>
          <w:color w:val="000000"/>
          <w:sz w:val="24"/>
          <w:szCs w:val="24"/>
        </w:rPr>
        <w:t>Pagès</w:t>
      </w:r>
      <w:proofErr w:type="spellEnd"/>
      <w:r w:rsidRPr="00FB05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V. (2017). Aide-mémoire handicaps et psychopathologie en 29 notions. </w:t>
      </w:r>
      <w:proofErr w:type="spellStart"/>
      <w:r w:rsidRPr="00FB0589">
        <w:rPr>
          <w:rFonts w:ascii="Times New Roman" w:eastAsia="Calibri" w:hAnsi="Times New Roman" w:cs="Times New Roman"/>
          <w:color w:val="000000"/>
          <w:sz w:val="24"/>
          <w:szCs w:val="24"/>
        </w:rPr>
        <w:t>Dunod</w:t>
      </w:r>
      <w:proofErr w:type="spellEnd"/>
      <w:r w:rsidRPr="00FB0589">
        <w:rPr>
          <w:rFonts w:ascii="Times New Roman" w:eastAsia="Calibri" w:hAnsi="Times New Roman" w:cs="Times New Roman"/>
          <w:color w:val="000000"/>
          <w:sz w:val="24"/>
          <w:szCs w:val="24"/>
        </w:rPr>
        <w:t>, Paris.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Dormoy L. (2020). L’évaluation diagnostique de l’enfant avec trouble du spectre de l’autisme, p. 56. </w:t>
      </w: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Dunod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>. Paris.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Scelles R., Petitpierre G. (2013). Polyhandicap processus d’évaluation cognitive. </w:t>
      </w: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Dunod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>. Paris.</w:t>
      </w:r>
    </w:p>
    <w:p w:rsidR="00FB0589" w:rsidRPr="00FB0589" w:rsidRDefault="00FB0589" w:rsidP="00FB0589">
      <w:pPr>
        <w:tabs>
          <w:tab w:val="left" w:pos="153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Morange-Majoux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 F. (2017) Manuel visuel de psychophysiologie. </w:t>
      </w: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Dunod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> : Paris.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89">
        <w:rPr>
          <w:rFonts w:ascii="Times New Roman" w:eastAsia="Calibri" w:hAnsi="Times New Roman" w:cs="Times New Roman"/>
          <w:sz w:val="24"/>
          <w:szCs w:val="24"/>
        </w:rPr>
        <w:t>Unicef. (2013). Développement de la petite enfance et handicap. Bibliothèque de l’OMS.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Zribi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 G., </w:t>
      </w:r>
      <w:proofErr w:type="spellStart"/>
      <w:r w:rsidRPr="00FB0589">
        <w:rPr>
          <w:rFonts w:ascii="Times New Roman" w:eastAsia="Calibri" w:hAnsi="Times New Roman" w:cs="Times New Roman"/>
          <w:sz w:val="24"/>
          <w:szCs w:val="24"/>
        </w:rPr>
        <w:t>Sarfaty</w:t>
      </w:r>
      <w:proofErr w:type="spellEnd"/>
      <w:r w:rsidRPr="00FB0589">
        <w:rPr>
          <w:rFonts w:ascii="Times New Roman" w:eastAsia="Calibri" w:hAnsi="Times New Roman" w:cs="Times New Roman"/>
          <w:sz w:val="24"/>
          <w:szCs w:val="24"/>
        </w:rPr>
        <w:t xml:space="preserve"> J. (2011). Dictionnaire du handicap. 7éme édition. Presses de l’EHESP. Rennes.</w:t>
      </w:r>
    </w:p>
    <w:p w:rsidR="00FB0589" w:rsidRPr="00FB0589" w:rsidRDefault="00FB0589" w:rsidP="00FB05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4F3" w:rsidRDefault="000164F3">
      <w:bookmarkStart w:id="0" w:name="_GoBack"/>
      <w:bookmarkEnd w:id="0"/>
    </w:p>
    <w:sectPr w:rsidR="0001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28"/>
    <w:rsid w:val="000164F3"/>
    <w:rsid w:val="002B2F28"/>
    <w:rsid w:val="00F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1CC11-3798-4145-A204-11A72BF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</cp:lastModifiedBy>
  <cp:revision>2</cp:revision>
  <dcterms:created xsi:type="dcterms:W3CDTF">2023-11-25T21:05:00Z</dcterms:created>
  <dcterms:modified xsi:type="dcterms:W3CDTF">2023-11-25T21:06:00Z</dcterms:modified>
</cp:coreProperties>
</file>