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589" w:rsidRPr="00FB0589" w:rsidRDefault="00FB0589" w:rsidP="00FB0589">
      <w:pPr>
        <w:spacing w:after="20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FB058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Bibliographie : </w:t>
      </w:r>
    </w:p>
    <w:p w:rsidR="00FB0589" w:rsidRPr="00FB0589" w:rsidRDefault="00FB0589" w:rsidP="00FB058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589">
        <w:rPr>
          <w:rFonts w:ascii="Times New Roman" w:eastAsia="Calibri" w:hAnsi="Times New Roman" w:cs="Times New Roman"/>
          <w:sz w:val="24"/>
          <w:szCs w:val="24"/>
        </w:rPr>
        <w:t>Amiel-Tison C., Gosselin J. (2009). Démarche clinique en neurologie du développement. Elsevier Masson S.A.S. Paris</w:t>
      </w:r>
    </w:p>
    <w:p w:rsidR="00FB0589" w:rsidRPr="00FB0589" w:rsidRDefault="00FB0589" w:rsidP="00FB0589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B0589">
        <w:rPr>
          <w:rFonts w:ascii="Times New Roman" w:eastAsia="Calibri" w:hAnsi="Times New Roman" w:cs="Times New Roman"/>
          <w:sz w:val="24"/>
          <w:szCs w:val="24"/>
        </w:rPr>
        <w:t xml:space="preserve">Carlier S. (2021). Troubles du spectre de l'autisme chez l’enfant, Editions </w:t>
      </w:r>
      <w:proofErr w:type="spellStart"/>
      <w:r w:rsidRPr="00FB0589">
        <w:rPr>
          <w:rFonts w:ascii="Times New Roman" w:eastAsia="Calibri" w:hAnsi="Times New Roman" w:cs="Times New Roman"/>
          <w:sz w:val="24"/>
          <w:szCs w:val="24"/>
        </w:rPr>
        <w:t>Mardaga</w:t>
      </w:r>
      <w:proofErr w:type="spellEnd"/>
      <w:r w:rsidRPr="00FB0589">
        <w:rPr>
          <w:rFonts w:ascii="Times New Roman" w:eastAsia="Calibri" w:hAnsi="Times New Roman" w:cs="Times New Roman"/>
          <w:sz w:val="24"/>
          <w:szCs w:val="24"/>
        </w:rPr>
        <w:t>. Bruxelles</w:t>
      </w:r>
    </w:p>
    <w:p w:rsidR="00FB0589" w:rsidRPr="00FB0589" w:rsidRDefault="00FB0589" w:rsidP="00FB0589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B0589">
        <w:rPr>
          <w:rFonts w:ascii="Times New Roman" w:eastAsia="Calibri" w:hAnsi="Times New Roman" w:cs="Times New Roman"/>
          <w:sz w:val="24"/>
          <w:szCs w:val="24"/>
        </w:rPr>
        <w:t>Cuilleret</w:t>
      </w:r>
      <w:proofErr w:type="spellEnd"/>
      <w:r w:rsidRPr="00FB0589">
        <w:rPr>
          <w:rFonts w:ascii="Times New Roman" w:eastAsia="Calibri" w:hAnsi="Times New Roman" w:cs="Times New Roman"/>
          <w:sz w:val="24"/>
          <w:szCs w:val="24"/>
        </w:rPr>
        <w:t>, M. (2007). Trisomie et handicaps génétiques associés. Elsevier Masson SAS.</w:t>
      </w:r>
    </w:p>
    <w:p w:rsidR="00FB0589" w:rsidRPr="00FB0589" w:rsidRDefault="00FB0589" w:rsidP="00FB0589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589">
        <w:rPr>
          <w:rFonts w:ascii="Times New Roman" w:eastAsia="Calibri" w:hAnsi="Times New Roman" w:cs="Times New Roman"/>
          <w:sz w:val="24"/>
          <w:szCs w:val="24"/>
        </w:rPr>
        <w:t xml:space="preserve">DSM V, (2013). American </w:t>
      </w:r>
      <w:proofErr w:type="spellStart"/>
      <w:r w:rsidRPr="00FB0589">
        <w:rPr>
          <w:rFonts w:ascii="Times New Roman" w:eastAsia="Calibri" w:hAnsi="Times New Roman" w:cs="Times New Roman"/>
          <w:sz w:val="24"/>
          <w:szCs w:val="24"/>
        </w:rPr>
        <w:t>psychological</w:t>
      </w:r>
      <w:proofErr w:type="spellEnd"/>
      <w:r w:rsidRPr="00FB05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0589">
        <w:rPr>
          <w:rFonts w:ascii="Times New Roman" w:eastAsia="Calibri" w:hAnsi="Times New Roman" w:cs="Times New Roman"/>
          <w:sz w:val="24"/>
          <w:szCs w:val="24"/>
        </w:rPr>
        <w:t>associaciation</w:t>
      </w:r>
      <w:proofErr w:type="spellEnd"/>
      <w:r w:rsidRPr="00FB05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0589" w:rsidRPr="00FB0589" w:rsidRDefault="00FB0589" w:rsidP="00FB0589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589">
        <w:rPr>
          <w:rFonts w:ascii="Times New Roman" w:eastAsia="Calibri" w:hAnsi="Times New Roman" w:cs="Times New Roman"/>
          <w:sz w:val="24"/>
          <w:szCs w:val="24"/>
        </w:rPr>
        <w:t xml:space="preserve">Dalla Piazza S., Dan B. (2001).. Handicaps et déficiences de l’enfant. De </w:t>
      </w:r>
      <w:proofErr w:type="spellStart"/>
      <w:r w:rsidRPr="00FB0589">
        <w:rPr>
          <w:rFonts w:ascii="Times New Roman" w:eastAsia="Calibri" w:hAnsi="Times New Roman" w:cs="Times New Roman"/>
          <w:sz w:val="24"/>
          <w:szCs w:val="24"/>
        </w:rPr>
        <w:t>boeck</w:t>
      </w:r>
      <w:proofErr w:type="spellEnd"/>
      <w:r w:rsidRPr="00FB05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0589" w:rsidRPr="00FB0589" w:rsidRDefault="00FB0589" w:rsidP="00FB0589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B0589">
        <w:rPr>
          <w:rFonts w:ascii="Times New Roman" w:eastAsia="Calibri" w:hAnsi="Times New Roman" w:cs="Times New Roman"/>
          <w:sz w:val="24"/>
          <w:szCs w:val="24"/>
        </w:rPr>
        <w:t>Grobois</w:t>
      </w:r>
      <w:proofErr w:type="spellEnd"/>
      <w:r w:rsidRPr="00FB0589">
        <w:rPr>
          <w:rFonts w:ascii="Times New Roman" w:eastAsia="Calibri" w:hAnsi="Times New Roman" w:cs="Times New Roman"/>
          <w:sz w:val="24"/>
          <w:szCs w:val="24"/>
        </w:rPr>
        <w:t>, N. (2020). Psychologie des handicaps (2 édition). De Boeck Supérieur.</w:t>
      </w:r>
    </w:p>
    <w:p w:rsidR="00FB0589" w:rsidRPr="00FB0589" w:rsidRDefault="00FB0589" w:rsidP="00FB0589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B0589">
        <w:rPr>
          <w:rFonts w:ascii="Times New Roman" w:eastAsia="Calibri" w:hAnsi="Times New Roman" w:cs="Times New Roman"/>
          <w:sz w:val="24"/>
          <w:szCs w:val="24"/>
        </w:rPr>
        <w:t>Guidetti</w:t>
      </w:r>
      <w:proofErr w:type="spellEnd"/>
      <w:r w:rsidRPr="00FB0589">
        <w:rPr>
          <w:rFonts w:ascii="Times New Roman" w:eastAsia="Calibri" w:hAnsi="Times New Roman" w:cs="Times New Roman"/>
          <w:sz w:val="24"/>
          <w:szCs w:val="24"/>
        </w:rPr>
        <w:t xml:space="preserve">, M. &amp; Tourette, C. (2014). Handicaps et développement psychologique. </w:t>
      </w:r>
      <w:proofErr w:type="spellStart"/>
      <w:r w:rsidRPr="00FB0589">
        <w:rPr>
          <w:rFonts w:ascii="Times New Roman" w:eastAsia="Calibri" w:hAnsi="Times New Roman" w:cs="Times New Roman"/>
          <w:sz w:val="24"/>
          <w:szCs w:val="24"/>
        </w:rPr>
        <w:t>Dunod</w:t>
      </w:r>
      <w:proofErr w:type="spellEnd"/>
      <w:r w:rsidRPr="00FB0589">
        <w:rPr>
          <w:rFonts w:ascii="Times New Roman" w:eastAsia="Calibri" w:hAnsi="Times New Roman" w:cs="Times New Roman"/>
          <w:sz w:val="24"/>
          <w:szCs w:val="24"/>
        </w:rPr>
        <w:t xml:space="preserve"> Editeur.</w:t>
      </w:r>
    </w:p>
    <w:p w:rsidR="00FB0589" w:rsidRPr="00FB0589" w:rsidRDefault="00FB0589" w:rsidP="00FB0589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B0589">
        <w:rPr>
          <w:rFonts w:ascii="Times New Roman" w:eastAsia="Calibri" w:hAnsi="Times New Roman" w:cs="Times New Roman"/>
          <w:color w:val="000000"/>
          <w:sz w:val="24"/>
          <w:szCs w:val="24"/>
        </w:rPr>
        <w:t>Guideney</w:t>
      </w:r>
      <w:proofErr w:type="spellEnd"/>
      <w:r w:rsidRPr="00FB0589">
        <w:rPr>
          <w:rFonts w:ascii="Times New Roman" w:eastAsia="Calibri" w:hAnsi="Times New Roman" w:cs="Times New Roman"/>
          <w:color w:val="000000"/>
          <w:sz w:val="24"/>
          <w:szCs w:val="24"/>
        </w:rPr>
        <w:t>, A. (2010). Petite enfance et psychopathologie. Elsevier.</w:t>
      </w:r>
    </w:p>
    <w:p w:rsidR="00FB0589" w:rsidRPr="00FB0589" w:rsidRDefault="00FB0589" w:rsidP="00FB0589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B0589">
        <w:rPr>
          <w:rFonts w:ascii="Times New Roman" w:eastAsia="Calibri" w:hAnsi="Times New Roman" w:cs="Times New Roman"/>
          <w:sz w:val="24"/>
          <w:szCs w:val="24"/>
        </w:rPr>
        <w:t>Lebovici</w:t>
      </w:r>
      <w:proofErr w:type="spellEnd"/>
      <w:r w:rsidRPr="00FB0589">
        <w:rPr>
          <w:rFonts w:ascii="Times New Roman" w:eastAsia="Calibri" w:hAnsi="Times New Roman" w:cs="Times New Roman"/>
          <w:sz w:val="24"/>
          <w:szCs w:val="24"/>
        </w:rPr>
        <w:t xml:space="preserve">, S., </w:t>
      </w:r>
      <w:proofErr w:type="spellStart"/>
      <w:r w:rsidRPr="00FB0589">
        <w:rPr>
          <w:rFonts w:ascii="Times New Roman" w:eastAsia="Calibri" w:hAnsi="Times New Roman" w:cs="Times New Roman"/>
          <w:sz w:val="24"/>
          <w:szCs w:val="24"/>
        </w:rPr>
        <w:t>Diatkine</w:t>
      </w:r>
      <w:proofErr w:type="spellEnd"/>
      <w:r w:rsidRPr="00FB0589">
        <w:rPr>
          <w:rFonts w:ascii="Times New Roman" w:eastAsia="Calibri" w:hAnsi="Times New Roman" w:cs="Times New Roman"/>
          <w:sz w:val="24"/>
          <w:szCs w:val="24"/>
        </w:rPr>
        <w:t>, R., Soulé, M. (2004). Nouveau Traité de Psychiatrie de l’enfant et de l’adolescent. Presses Universitaires de France.</w:t>
      </w:r>
    </w:p>
    <w:p w:rsidR="00FB0589" w:rsidRPr="00FB0589" w:rsidRDefault="00FB0589" w:rsidP="00FB0589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B0589">
        <w:rPr>
          <w:rFonts w:ascii="Times New Roman" w:eastAsia="Calibri" w:hAnsi="Times New Roman" w:cs="Times New Roman"/>
          <w:sz w:val="24"/>
          <w:szCs w:val="24"/>
        </w:rPr>
        <w:t>Miljkovitch</w:t>
      </w:r>
      <w:proofErr w:type="spellEnd"/>
      <w:r w:rsidRPr="00FB0589">
        <w:rPr>
          <w:rFonts w:ascii="Times New Roman" w:eastAsia="Calibri" w:hAnsi="Times New Roman" w:cs="Times New Roman"/>
          <w:sz w:val="24"/>
          <w:szCs w:val="24"/>
        </w:rPr>
        <w:t xml:space="preserve">, R. &amp; </w:t>
      </w:r>
      <w:proofErr w:type="spellStart"/>
      <w:r w:rsidRPr="00FB0589">
        <w:rPr>
          <w:rFonts w:ascii="Times New Roman" w:eastAsia="Calibri" w:hAnsi="Times New Roman" w:cs="Times New Roman"/>
          <w:sz w:val="24"/>
          <w:szCs w:val="24"/>
        </w:rPr>
        <w:t>Morange-Majoux</w:t>
      </w:r>
      <w:proofErr w:type="spellEnd"/>
      <w:r w:rsidRPr="00FB0589">
        <w:rPr>
          <w:rFonts w:ascii="Times New Roman" w:eastAsia="Calibri" w:hAnsi="Times New Roman" w:cs="Times New Roman"/>
          <w:sz w:val="24"/>
          <w:szCs w:val="24"/>
        </w:rPr>
        <w:t>, F. (2004). Psychologie du développement. Elsevier.</w:t>
      </w:r>
    </w:p>
    <w:p w:rsidR="00FB0589" w:rsidRPr="00FB0589" w:rsidRDefault="00FB0589" w:rsidP="00FB0589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589">
        <w:rPr>
          <w:rFonts w:ascii="Times New Roman" w:eastAsia="Calibri" w:hAnsi="Times New Roman" w:cs="Times New Roman"/>
          <w:sz w:val="24"/>
          <w:szCs w:val="24"/>
        </w:rPr>
        <w:t>O.M.S &amp; Banque Mondiale (2011). Rapport mondial sur le handicap. Bibliothèque de l’OMS.</w:t>
      </w:r>
    </w:p>
    <w:p w:rsidR="00FB0589" w:rsidRPr="00FB0589" w:rsidRDefault="00FB0589" w:rsidP="00FB0589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589">
        <w:rPr>
          <w:rFonts w:ascii="Times New Roman" w:eastAsia="Calibri" w:hAnsi="Times New Roman" w:cs="Times New Roman"/>
          <w:sz w:val="24"/>
          <w:szCs w:val="24"/>
        </w:rPr>
        <w:t>O.M.S (2013). Développement de la petite enfance et handicap. Bibliothèque de l’O.M.S.</w:t>
      </w:r>
    </w:p>
    <w:p w:rsidR="00FB0589" w:rsidRPr="00FB0589" w:rsidRDefault="00FB0589" w:rsidP="00FB0589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589">
        <w:rPr>
          <w:rFonts w:ascii="Times New Roman" w:eastAsia="Calibri" w:hAnsi="Times New Roman" w:cs="Times New Roman"/>
          <w:sz w:val="24"/>
          <w:szCs w:val="24"/>
        </w:rPr>
        <w:t>O.N.S Office National des Statistiques.</w:t>
      </w:r>
    </w:p>
    <w:p w:rsidR="00FB0589" w:rsidRPr="00FB0589" w:rsidRDefault="00FB0589" w:rsidP="00FB0589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B0589">
        <w:rPr>
          <w:rFonts w:ascii="Times New Roman" w:eastAsia="Calibri" w:hAnsi="Times New Roman" w:cs="Times New Roman"/>
          <w:sz w:val="24"/>
          <w:szCs w:val="24"/>
        </w:rPr>
        <w:t>Petot</w:t>
      </w:r>
      <w:proofErr w:type="spellEnd"/>
      <w:r w:rsidRPr="00FB0589">
        <w:rPr>
          <w:rFonts w:ascii="Times New Roman" w:eastAsia="Calibri" w:hAnsi="Times New Roman" w:cs="Times New Roman"/>
          <w:sz w:val="24"/>
          <w:szCs w:val="24"/>
        </w:rPr>
        <w:t xml:space="preserve">, Dj. (2010). L’évaluation en psychopathologie de l’enfant. </w:t>
      </w:r>
    </w:p>
    <w:p w:rsidR="00FB0589" w:rsidRPr="00FB0589" w:rsidRDefault="00FB0589" w:rsidP="00FB0589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589">
        <w:rPr>
          <w:rFonts w:ascii="Times New Roman" w:eastAsia="Calibri" w:hAnsi="Times New Roman" w:cs="Times New Roman"/>
          <w:sz w:val="24"/>
          <w:szCs w:val="24"/>
        </w:rPr>
        <w:t xml:space="preserve">Philip C., </w:t>
      </w:r>
      <w:proofErr w:type="spellStart"/>
      <w:r w:rsidRPr="00FB0589">
        <w:rPr>
          <w:rFonts w:ascii="Times New Roman" w:eastAsia="Calibri" w:hAnsi="Times New Roman" w:cs="Times New Roman"/>
          <w:sz w:val="24"/>
          <w:szCs w:val="24"/>
        </w:rPr>
        <w:t>Magerotte</w:t>
      </w:r>
      <w:proofErr w:type="spellEnd"/>
      <w:r w:rsidRPr="00FB0589">
        <w:rPr>
          <w:rFonts w:ascii="Times New Roman" w:eastAsia="Calibri" w:hAnsi="Times New Roman" w:cs="Times New Roman"/>
          <w:sz w:val="24"/>
          <w:szCs w:val="24"/>
        </w:rPr>
        <w:t xml:space="preserve"> G., Adrien J.L. (2012). Scolariser des élèves avec autisme et </w:t>
      </w:r>
      <w:proofErr w:type="spellStart"/>
      <w:r w:rsidRPr="00FB0589">
        <w:rPr>
          <w:rFonts w:ascii="Times New Roman" w:eastAsia="Calibri" w:hAnsi="Times New Roman" w:cs="Times New Roman"/>
          <w:sz w:val="24"/>
          <w:szCs w:val="24"/>
        </w:rPr>
        <w:t>TED.Dunod</w:t>
      </w:r>
      <w:proofErr w:type="spellEnd"/>
      <w:r w:rsidRPr="00FB0589">
        <w:rPr>
          <w:rFonts w:ascii="Times New Roman" w:eastAsia="Calibri" w:hAnsi="Times New Roman" w:cs="Times New Roman"/>
          <w:sz w:val="24"/>
          <w:szCs w:val="24"/>
        </w:rPr>
        <w:t xml:space="preserve"> Paris.</w:t>
      </w:r>
    </w:p>
    <w:p w:rsidR="00FB0589" w:rsidRPr="00FB0589" w:rsidRDefault="00FB0589" w:rsidP="00FB0589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B0589">
        <w:rPr>
          <w:rFonts w:ascii="Times New Roman" w:eastAsia="Calibri" w:hAnsi="Times New Roman" w:cs="Times New Roman"/>
          <w:sz w:val="24"/>
          <w:szCs w:val="24"/>
        </w:rPr>
        <w:t>Rabischong</w:t>
      </w:r>
      <w:proofErr w:type="spellEnd"/>
      <w:r w:rsidRPr="00FB0589">
        <w:rPr>
          <w:rFonts w:ascii="Times New Roman" w:eastAsia="Calibri" w:hAnsi="Times New Roman" w:cs="Times New Roman"/>
          <w:sz w:val="24"/>
          <w:szCs w:val="24"/>
        </w:rPr>
        <w:t>, P. (2015). Le handicap. Presses Universitaires de France.</w:t>
      </w:r>
    </w:p>
    <w:p w:rsidR="00FB0589" w:rsidRPr="00FB0589" w:rsidRDefault="00FB0589" w:rsidP="00FB0589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589">
        <w:rPr>
          <w:rFonts w:ascii="Times New Roman" w:eastAsia="Calibri" w:hAnsi="Times New Roman" w:cs="Times New Roman"/>
          <w:sz w:val="24"/>
          <w:szCs w:val="24"/>
        </w:rPr>
        <w:t xml:space="preserve">Raynaud J. P. &amp; Scelles, R. (2013). Psychopathologie et handicap de l’enfant et de l’adolescent p.54. Editions </w:t>
      </w:r>
      <w:proofErr w:type="spellStart"/>
      <w:r w:rsidRPr="00FB0589">
        <w:rPr>
          <w:rFonts w:ascii="Times New Roman" w:eastAsia="Calibri" w:hAnsi="Times New Roman" w:cs="Times New Roman"/>
          <w:sz w:val="24"/>
          <w:szCs w:val="24"/>
        </w:rPr>
        <w:t>érès</w:t>
      </w:r>
      <w:proofErr w:type="spellEnd"/>
      <w:r w:rsidRPr="00FB0589">
        <w:rPr>
          <w:rFonts w:ascii="Times New Roman" w:eastAsia="Calibri" w:hAnsi="Times New Roman" w:cs="Times New Roman"/>
          <w:sz w:val="24"/>
          <w:szCs w:val="24"/>
        </w:rPr>
        <w:t>, Toulouse : France.</w:t>
      </w:r>
    </w:p>
    <w:p w:rsidR="00FB0589" w:rsidRPr="00FB0589" w:rsidRDefault="00FB0589" w:rsidP="00FB0589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589">
        <w:rPr>
          <w:rFonts w:ascii="Times New Roman" w:eastAsia="Calibri" w:hAnsi="Times New Roman" w:cs="Times New Roman"/>
          <w:sz w:val="24"/>
          <w:szCs w:val="24"/>
        </w:rPr>
        <w:t xml:space="preserve">Scelles, R. &amp; Petitpierre G. (2013). Polyhandicap : processus d’évaluation cognitive. </w:t>
      </w:r>
      <w:proofErr w:type="spellStart"/>
      <w:r w:rsidRPr="00FB0589">
        <w:rPr>
          <w:rFonts w:ascii="Times New Roman" w:eastAsia="Calibri" w:hAnsi="Times New Roman" w:cs="Times New Roman"/>
          <w:sz w:val="24"/>
          <w:szCs w:val="24"/>
        </w:rPr>
        <w:t>Dunod</w:t>
      </w:r>
      <w:proofErr w:type="spellEnd"/>
      <w:r w:rsidRPr="00FB05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0589" w:rsidRPr="00FB0589" w:rsidRDefault="00FB0589" w:rsidP="00FB0589">
      <w:pPr>
        <w:spacing w:after="20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FB0589">
        <w:rPr>
          <w:rFonts w:ascii="Times New Roman" w:eastAsia="Calibri" w:hAnsi="Times New Roman" w:cs="Times New Roman"/>
          <w:color w:val="000000"/>
          <w:sz w:val="24"/>
          <w:szCs w:val="24"/>
        </w:rPr>
        <w:t>Pagès</w:t>
      </w:r>
      <w:proofErr w:type="spellEnd"/>
      <w:r w:rsidRPr="00FB05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V. (2017). Aide-mémoire handicaps et psychopathologie en 29 notions. </w:t>
      </w:r>
      <w:proofErr w:type="spellStart"/>
      <w:r w:rsidRPr="00FB0589">
        <w:rPr>
          <w:rFonts w:ascii="Times New Roman" w:eastAsia="Calibri" w:hAnsi="Times New Roman" w:cs="Times New Roman"/>
          <w:color w:val="000000"/>
          <w:sz w:val="24"/>
          <w:szCs w:val="24"/>
        </w:rPr>
        <w:t>Dunod</w:t>
      </w:r>
      <w:proofErr w:type="spellEnd"/>
      <w:r w:rsidRPr="00FB0589">
        <w:rPr>
          <w:rFonts w:ascii="Times New Roman" w:eastAsia="Calibri" w:hAnsi="Times New Roman" w:cs="Times New Roman"/>
          <w:color w:val="000000"/>
          <w:sz w:val="24"/>
          <w:szCs w:val="24"/>
        </w:rPr>
        <w:t>, Paris.</w:t>
      </w:r>
    </w:p>
    <w:p w:rsidR="00FB0589" w:rsidRPr="00FB0589" w:rsidRDefault="00FB0589" w:rsidP="00FB0589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58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Dormoy L. (2020). L’évaluation diagnostique de l’enfant avec trouble du spectre de l’autisme, p. 56. </w:t>
      </w:r>
      <w:proofErr w:type="spellStart"/>
      <w:r w:rsidRPr="00FB0589">
        <w:rPr>
          <w:rFonts w:ascii="Times New Roman" w:eastAsia="Calibri" w:hAnsi="Times New Roman" w:cs="Times New Roman"/>
          <w:sz w:val="24"/>
          <w:szCs w:val="24"/>
        </w:rPr>
        <w:t>Dunod</w:t>
      </w:r>
      <w:proofErr w:type="spellEnd"/>
      <w:r w:rsidRPr="00FB0589">
        <w:rPr>
          <w:rFonts w:ascii="Times New Roman" w:eastAsia="Calibri" w:hAnsi="Times New Roman" w:cs="Times New Roman"/>
          <w:sz w:val="24"/>
          <w:szCs w:val="24"/>
        </w:rPr>
        <w:t>. Paris.</w:t>
      </w:r>
    </w:p>
    <w:p w:rsidR="00FB0589" w:rsidRPr="00FB0589" w:rsidRDefault="00FB0589" w:rsidP="00FB0589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589">
        <w:rPr>
          <w:rFonts w:ascii="Times New Roman" w:eastAsia="Calibri" w:hAnsi="Times New Roman" w:cs="Times New Roman"/>
          <w:sz w:val="24"/>
          <w:szCs w:val="24"/>
        </w:rPr>
        <w:t xml:space="preserve">Scelles R., Petitpierre G. (2013). Polyhandicap processus d’évaluation cognitive. </w:t>
      </w:r>
      <w:proofErr w:type="spellStart"/>
      <w:r w:rsidRPr="00FB0589">
        <w:rPr>
          <w:rFonts w:ascii="Times New Roman" w:eastAsia="Calibri" w:hAnsi="Times New Roman" w:cs="Times New Roman"/>
          <w:sz w:val="24"/>
          <w:szCs w:val="24"/>
        </w:rPr>
        <w:t>Dunod</w:t>
      </w:r>
      <w:proofErr w:type="spellEnd"/>
      <w:r w:rsidRPr="00FB0589">
        <w:rPr>
          <w:rFonts w:ascii="Times New Roman" w:eastAsia="Calibri" w:hAnsi="Times New Roman" w:cs="Times New Roman"/>
          <w:sz w:val="24"/>
          <w:szCs w:val="24"/>
        </w:rPr>
        <w:t>. Paris.</w:t>
      </w:r>
    </w:p>
    <w:p w:rsidR="00FB0589" w:rsidRPr="00FB0589" w:rsidRDefault="00FB0589" w:rsidP="00FB0589">
      <w:pPr>
        <w:tabs>
          <w:tab w:val="left" w:pos="153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B0589">
        <w:rPr>
          <w:rFonts w:ascii="Times New Roman" w:eastAsia="Calibri" w:hAnsi="Times New Roman" w:cs="Times New Roman"/>
          <w:sz w:val="24"/>
          <w:szCs w:val="24"/>
        </w:rPr>
        <w:t>Morange-Majoux</w:t>
      </w:r>
      <w:proofErr w:type="spellEnd"/>
      <w:r w:rsidRPr="00FB0589">
        <w:rPr>
          <w:rFonts w:ascii="Times New Roman" w:eastAsia="Calibri" w:hAnsi="Times New Roman" w:cs="Times New Roman"/>
          <w:sz w:val="24"/>
          <w:szCs w:val="24"/>
        </w:rPr>
        <w:t xml:space="preserve"> F. (2017) Manuel visuel de psychophysiologie. </w:t>
      </w:r>
      <w:proofErr w:type="spellStart"/>
      <w:r w:rsidRPr="00FB0589">
        <w:rPr>
          <w:rFonts w:ascii="Times New Roman" w:eastAsia="Calibri" w:hAnsi="Times New Roman" w:cs="Times New Roman"/>
          <w:sz w:val="24"/>
          <w:szCs w:val="24"/>
        </w:rPr>
        <w:t>Dunod</w:t>
      </w:r>
      <w:proofErr w:type="spellEnd"/>
      <w:r w:rsidRPr="00FB0589">
        <w:rPr>
          <w:rFonts w:ascii="Times New Roman" w:eastAsia="Calibri" w:hAnsi="Times New Roman" w:cs="Times New Roman"/>
          <w:sz w:val="24"/>
          <w:szCs w:val="24"/>
        </w:rPr>
        <w:t> : Paris.</w:t>
      </w:r>
    </w:p>
    <w:p w:rsidR="00FB0589" w:rsidRPr="00FB0589" w:rsidRDefault="00FB0589" w:rsidP="00FB0589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589">
        <w:rPr>
          <w:rFonts w:ascii="Times New Roman" w:eastAsia="Calibri" w:hAnsi="Times New Roman" w:cs="Times New Roman"/>
          <w:sz w:val="24"/>
          <w:szCs w:val="24"/>
        </w:rPr>
        <w:t>Unicef. (2013). Développement de la petite enfance et handicap. Bibliothèque de l’OMS.</w:t>
      </w:r>
    </w:p>
    <w:p w:rsidR="00FB0589" w:rsidRPr="00FB0589" w:rsidRDefault="00FB0589" w:rsidP="00FB0589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B0589">
        <w:rPr>
          <w:rFonts w:ascii="Times New Roman" w:eastAsia="Calibri" w:hAnsi="Times New Roman" w:cs="Times New Roman"/>
          <w:sz w:val="24"/>
          <w:szCs w:val="24"/>
        </w:rPr>
        <w:t>Zribi</w:t>
      </w:r>
      <w:proofErr w:type="spellEnd"/>
      <w:r w:rsidRPr="00FB0589">
        <w:rPr>
          <w:rFonts w:ascii="Times New Roman" w:eastAsia="Calibri" w:hAnsi="Times New Roman" w:cs="Times New Roman"/>
          <w:sz w:val="24"/>
          <w:szCs w:val="24"/>
        </w:rPr>
        <w:t xml:space="preserve"> G., </w:t>
      </w:r>
      <w:proofErr w:type="spellStart"/>
      <w:r w:rsidRPr="00FB0589">
        <w:rPr>
          <w:rFonts w:ascii="Times New Roman" w:eastAsia="Calibri" w:hAnsi="Times New Roman" w:cs="Times New Roman"/>
          <w:sz w:val="24"/>
          <w:szCs w:val="24"/>
        </w:rPr>
        <w:t>Sarfaty</w:t>
      </w:r>
      <w:proofErr w:type="spellEnd"/>
      <w:r w:rsidRPr="00FB0589">
        <w:rPr>
          <w:rFonts w:ascii="Times New Roman" w:eastAsia="Calibri" w:hAnsi="Times New Roman" w:cs="Times New Roman"/>
          <w:sz w:val="24"/>
          <w:szCs w:val="24"/>
        </w:rPr>
        <w:t xml:space="preserve"> J. (2011). Dictionnaire du handicap. 7éme édition. Presses de l’EHESP. Rennes.</w:t>
      </w:r>
    </w:p>
    <w:p w:rsidR="00FB0589" w:rsidRPr="00FB0589" w:rsidRDefault="00FB0589" w:rsidP="00FB0589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64F3" w:rsidRDefault="000164F3">
      <w:bookmarkStart w:id="0" w:name="_GoBack"/>
      <w:bookmarkEnd w:id="0"/>
    </w:p>
    <w:sectPr w:rsidR="00016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28"/>
    <w:rsid w:val="000164F3"/>
    <w:rsid w:val="002B2F28"/>
    <w:rsid w:val="00FB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1CC11-3798-4145-A204-11A72BF4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</dc:creator>
  <cp:keywords/>
  <dc:description/>
  <cp:lastModifiedBy>just</cp:lastModifiedBy>
  <cp:revision>2</cp:revision>
  <dcterms:created xsi:type="dcterms:W3CDTF">2023-11-25T21:05:00Z</dcterms:created>
  <dcterms:modified xsi:type="dcterms:W3CDTF">2023-11-25T21:06:00Z</dcterms:modified>
</cp:coreProperties>
</file>