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98" w:rsidRPr="006A3098" w:rsidRDefault="006A3098" w:rsidP="006A3098">
      <w:pPr>
        <w:spacing w:after="200" w:line="360" w:lineRule="auto"/>
        <w:jc w:val="both"/>
        <w:rPr>
          <w:rFonts w:ascii="OfficinaSans-Book" w:eastAsia="Calibri" w:hAnsi="OfficinaSans-Book" w:cs="OfficinaSans-Book"/>
          <w:b/>
          <w:bCs/>
          <w:color w:val="000000"/>
          <w:sz w:val="21"/>
          <w:szCs w:val="21"/>
          <w:u w:val="single"/>
        </w:rPr>
      </w:pPr>
      <w:r w:rsidRPr="006A3098">
        <w:rPr>
          <w:rFonts w:ascii="OfficinaSans-Book" w:eastAsia="Calibri" w:hAnsi="OfficinaSans-Book" w:cs="OfficinaSans-Book"/>
          <w:b/>
          <w:bCs/>
          <w:color w:val="000000"/>
          <w:sz w:val="21"/>
          <w:szCs w:val="21"/>
          <w:u w:val="single"/>
        </w:rPr>
        <w:t xml:space="preserve">Les prises en charges de l’enfant autiste : </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color w:val="000000"/>
          <w:sz w:val="24"/>
          <w:szCs w:val="24"/>
        </w:rPr>
      </w:pPr>
      <w:r w:rsidRPr="006A3098">
        <w:rPr>
          <w:rFonts w:ascii="Times New Roman" w:eastAsia="Calibri" w:hAnsi="Times New Roman" w:cs="Times New Roman"/>
          <w:color w:val="000000"/>
          <w:sz w:val="24"/>
          <w:szCs w:val="24"/>
        </w:rPr>
        <w:t xml:space="preserve">Selon </w:t>
      </w:r>
      <w:proofErr w:type="spellStart"/>
      <w:r w:rsidRPr="006A3098">
        <w:rPr>
          <w:rFonts w:ascii="Times New Roman" w:eastAsia="Calibri" w:hAnsi="Times New Roman" w:cs="Times New Roman"/>
          <w:color w:val="000000"/>
          <w:sz w:val="24"/>
          <w:szCs w:val="24"/>
        </w:rPr>
        <w:t>Pagès</w:t>
      </w:r>
      <w:proofErr w:type="spellEnd"/>
      <w:r w:rsidRPr="006A3098">
        <w:rPr>
          <w:rFonts w:ascii="Times New Roman" w:eastAsia="Calibri" w:hAnsi="Times New Roman" w:cs="Times New Roman"/>
          <w:color w:val="000000"/>
          <w:sz w:val="24"/>
          <w:szCs w:val="24"/>
        </w:rPr>
        <w:t xml:space="preserve"> (2017), La prise en charge de l’enfant autiste est, pour ses parents, un vrai parcours du combattant à cause de la non disponibilité de structures adaptées à ces enfants et du nombre insuffisant de professionnels spécialisés formés.</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color w:val="000000"/>
          <w:sz w:val="24"/>
          <w:szCs w:val="24"/>
        </w:rPr>
      </w:pPr>
      <w:r w:rsidRPr="006A3098">
        <w:rPr>
          <w:rFonts w:ascii="Times New Roman" w:eastAsia="Calibri" w:hAnsi="Times New Roman" w:cs="Times New Roman"/>
          <w:color w:val="000000"/>
          <w:sz w:val="24"/>
          <w:szCs w:val="24"/>
        </w:rPr>
        <w:t>L’auteur estime que la rééducation de la communication est capitale quelle que soit la profondeur du trouble.</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color w:val="000000"/>
          <w:sz w:val="24"/>
          <w:szCs w:val="24"/>
        </w:rPr>
      </w:pPr>
      <w:r w:rsidRPr="006A3098">
        <w:rPr>
          <w:rFonts w:ascii="Times New Roman" w:eastAsia="Calibri" w:hAnsi="Times New Roman" w:cs="Times New Roman"/>
          <w:color w:val="000000"/>
          <w:sz w:val="24"/>
          <w:szCs w:val="24"/>
        </w:rPr>
        <w:t>Et qu’elle doit avoir lieu deux à trois fois par semaine car chaque séance est très courte, la capacité attentionnelle de ces enfants étant très faible.</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b/>
          <w:bCs/>
          <w:color w:val="000000"/>
          <w:sz w:val="24"/>
          <w:szCs w:val="24"/>
        </w:rPr>
      </w:pPr>
      <w:r w:rsidRPr="006A3098">
        <w:rPr>
          <w:rFonts w:ascii="Times New Roman" w:eastAsia="Calibri" w:hAnsi="Times New Roman" w:cs="Times New Roman"/>
          <w:b/>
          <w:bCs/>
          <w:color w:val="000000"/>
          <w:sz w:val="24"/>
          <w:szCs w:val="24"/>
        </w:rPr>
        <w:t>Les prises en charge psycho-éducatives et développementales :</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color w:val="000000"/>
          <w:sz w:val="24"/>
          <w:szCs w:val="24"/>
        </w:rPr>
      </w:pPr>
      <w:r w:rsidRPr="006A3098">
        <w:rPr>
          <w:rFonts w:ascii="Times New Roman" w:eastAsia="Calibri" w:hAnsi="Times New Roman" w:cs="Times New Roman"/>
          <w:color w:val="000000"/>
          <w:sz w:val="24"/>
          <w:szCs w:val="24"/>
        </w:rPr>
        <w:t xml:space="preserve">Ces prises en charge ont pour but de rééduquer et restaurer les fonctions cognitives déficientes. Les prises en charge éducative appelées également méthodes comportementalistes, sont les plus efficaces surtout si la prise en charge est précoce (avant 6 ans si possible). </w:t>
      </w:r>
      <w:r w:rsidRPr="006A3098">
        <w:rPr>
          <w:rFonts w:ascii="Times New Roman" w:eastAsia="Calibri" w:hAnsi="Times New Roman" w:cs="Times New Roman"/>
          <w:sz w:val="24"/>
          <w:szCs w:val="24"/>
        </w:rPr>
        <w:t>Les plus cités sont :</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sz w:val="24"/>
          <w:szCs w:val="24"/>
        </w:rPr>
      </w:pPr>
      <w:r w:rsidRPr="006A3098">
        <w:rPr>
          <w:rFonts w:ascii="Times New Roman" w:eastAsia="Calibri" w:hAnsi="Times New Roman" w:cs="Times New Roman"/>
          <w:b/>
          <w:bCs/>
          <w:sz w:val="24"/>
          <w:szCs w:val="24"/>
        </w:rPr>
        <w:t xml:space="preserve">« Le PECS (Picture Exchange Communication System ou Outil de communication par échange d’image) </w:t>
      </w:r>
      <w:r w:rsidRPr="006A3098">
        <w:rPr>
          <w:rFonts w:ascii="Times New Roman" w:eastAsia="Calibri" w:hAnsi="Times New Roman" w:cs="Times New Roman"/>
          <w:sz w:val="24"/>
          <w:szCs w:val="24"/>
        </w:rPr>
        <w:t>: Il s’agit d’un système de communication à base d’échange d’images afin de suppléer ou d’augmenter l’échange oral chez les personnes présentant des troubles du spectre autistique. L’approche passe, en outre, par l’enseignement du langage des signes.</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sz w:val="24"/>
          <w:szCs w:val="24"/>
        </w:rPr>
      </w:pPr>
      <w:r w:rsidRPr="006A3098">
        <w:rPr>
          <w:rFonts w:ascii="Times New Roman" w:eastAsia="Calibri" w:hAnsi="Times New Roman" w:cs="Times New Roman"/>
          <w:b/>
          <w:bCs/>
          <w:sz w:val="24"/>
          <w:szCs w:val="24"/>
        </w:rPr>
        <w:t>Le TEACCH (</w:t>
      </w:r>
      <w:proofErr w:type="spellStart"/>
      <w:r w:rsidRPr="006A3098">
        <w:rPr>
          <w:rFonts w:ascii="Times New Roman" w:eastAsia="Calibri" w:hAnsi="Times New Roman" w:cs="Times New Roman"/>
          <w:b/>
          <w:bCs/>
          <w:sz w:val="24"/>
          <w:szCs w:val="24"/>
        </w:rPr>
        <w:t>Treatment</w:t>
      </w:r>
      <w:proofErr w:type="spellEnd"/>
      <w:r w:rsidRPr="006A3098">
        <w:rPr>
          <w:rFonts w:ascii="Times New Roman" w:eastAsia="Calibri" w:hAnsi="Times New Roman" w:cs="Times New Roman"/>
          <w:b/>
          <w:bCs/>
          <w:sz w:val="24"/>
          <w:szCs w:val="24"/>
        </w:rPr>
        <w:t xml:space="preserve"> and Education of </w:t>
      </w:r>
      <w:proofErr w:type="spellStart"/>
      <w:r w:rsidRPr="006A3098">
        <w:rPr>
          <w:rFonts w:ascii="Times New Roman" w:eastAsia="Calibri" w:hAnsi="Times New Roman" w:cs="Times New Roman"/>
          <w:b/>
          <w:bCs/>
          <w:sz w:val="24"/>
          <w:szCs w:val="24"/>
        </w:rPr>
        <w:t>Autistic</w:t>
      </w:r>
      <w:proofErr w:type="spellEnd"/>
      <w:r w:rsidRPr="006A3098">
        <w:rPr>
          <w:rFonts w:ascii="Times New Roman" w:eastAsia="Calibri" w:hAnsi="Times New Roman" w:cs="Times New Roman"/>
          <w:b/>
          <w:bCs/>
          <w:sz w:val="24"/>
          <w:szCs w:val="24"/>
        </w:rPr>
        <w:t xml:space="preserve"> and </w:t>
      </w:r>
      <w:proofErr w:type="spellStart"/>
      <w:r w:rsidRPr="006A3098">
        <w:rPr>
          <w:rFonts w:ascii="Times New Roman" w:eastAsia="Calibri" w:hAnsi="Times New Roman" w:cs="Times New Roman"/>
          <w:b/>
          <w:bCs/>
          <w:sz w:val="24"/>
          <w:szCs w:val="24"/>
        </w:rPr>
        <w:t>related</w:t>
      </w:r>
      <w:proofErr w:type="spellEnd"/>
      <w:r w:rsidRPr="006A3098">
        <w:rPr>
          <w:rFonts w:ascii="Times New Roman" w:eastAsia="Calibri" w:hAnsi="Times New Roman" w:cs="Times New Roman"/>
          <w:b/>
          <w:bCs/>
          <w:sz w:val="24"/>
          <w:szCs w:val="24"/>
        </w:rPr>
        <w:t xml:space="preserve"> </w:t>
      </w:r>
      <w:proofErr w:type="spellStart"/>
      <w:r w:rsidRPr="006A3098">
        <w:rPr>
          <w:rFonts w:ascii="Times New Roman" w:eastAsia="Calibri" w:hAnsi="Times New Roman" w:cs="Times New Roman"/>
          <w:b/>
          <w:bCs/>
          <w:sz w:val="24"/>
          <w:szCs w:val="24"/>
        </w:rPr>
        <w:t>Communicationhandicapped</w:t>
      </w:r>
      <w:proofErr w:type="spellEnd"/>
      <w:r w:rsidRPr="006A3098">
        <w:rPr>
          <w:rFonts w:ascii="Times New Roman" w:eastAsia="Calibri" w:hAnsi="Times New Roman" w:cs="Times New Roman"/>
          <w:b/>
          <w:bCs/>
          <w:sz w:val="24"/>
          <w:szCs w:val="24"/>
        </w:rPr>
        <w:t xml:space="preserve"> </w:t>
      </w:r>
      <w:proofErr w:type="spellStart"/>
      <w:r w:rsidRPr="006A3098">
        <w:rPr>
          <w:rFonts w:ascii="Times New Roman" w:eastAsia="Calibri" w:hAnsi="Times New Roman" w:cs="Times New Roman"/>
          <w:b/>
          <w:bCs/>
          <w:sz w:val="24"/>
          <w:szCs w:val="24"/>
        </w:rPr>
        <w:t>Children</w:t>
      </w:r>
      <w:proofErr w:type="spellEnd"/>
      <w:r w:rsidRPr="006A3098">
        <w:rPr>
          <w:rFonts w:ascii="Times New Roman" w:eastAsia="Calibri" w:hAnsi="Times New Roman" w:cs="Times New Roman"/>
          <w:b/>
          <w:bCs/>
          <w:sz w:val="24"/>
          <w:szCs w:val="24"/>
        </w:rPr>
        <w:t xml:space="preserve"> ou Traitement et éducation des enfants autistes ou atteints de troubles et la communication associés).</w:t>
      </w:r>
      <w:r w:rsidRPr="006A3098">
        <w:rPr>
          <w:rFonts w:ascii="Times New Roman" w:eastAsia="Calibri" w:hAnsi="Times New Roman" w:cs="Times New Roman"/>
          <w:sz w:val="24"/>
          <w:szCs w:val="24"/>
        </w:rPr>
        <w:t xml:space="preserve"> Spécifique aux enfants autistes, la méthode TEACCH est un programme éducatif structuré misant sur les points forts individuels et réduisant les stimulations inutiles et perturbantes dont l’objectif est de permettre aux enfants d’acquérir une habitude d’agir de manière appropriée dans des contextes destinés à se répéter et ainsi à développer l’autonomie dans le travail, dans la vie quotidienne, dans les loisirs, sa capacité à gérer ses comportements et ainsi à structurer une vie sociale adaptée.</w:t>
      </w:r>
    </w:p>
    <w:p w:rsidR="006A3098" w:rsidRPr="006A3098" w:rsidRDefault="006A3098" w:rsidP="006A3098">
      <w:pPr>
        <w:autoSpaceDE w:val="0"/>
        <w:autoSpaceDN w:val="0"/>
        <w:adjustRightInd w:val="0"/>
        <w:spacing w:after="0" w:line="360" w:lineRule="auto"/>
        <w:rPr>
          <w:rFonts w:ascii="Times New Roman" w:eastAsia="Calibri" w:hAnsi="Times New Roman" w:cs="Times New Roman"/>
          <w:sz w:val="24"/>
          <w:szCs w:val="24"/>
        </w:rPr>
      </w:pPr>
      <w:r w:rsidRPr="006A3098">
        <w:rPr>
          <w:rFonts w:ascii="Times New Roman" w:eastAsia="Calibri" w:hAnsi="Times New Roman" w:cs="Times New Roman"/>
          <w:b/>
          <w:bCs/>
          <w:sz w:val="24"/>
          <w:szCs w:val="24"/>
        </w:rPr>
        <w:t>L’A.B.A. (</w:t>
      </w:r>
      <w:proofErr w:type="spellStart"/>
      <w:r w:rsidRPr="006A3098">
        <w:rPr>
          <w:rFonts w:ascii="Times New Roman" w:eastAsia="Calibri" w:hAnsi="Times New Roman" w:cs="Times New Roman"/>
          <w:b/>
          <w:bCs/>
          <w:sz w:val="24"/>
          <w:szCs w:val="24"/>
        </w:rPr>
        <w:t>Applied</w:t>
      </w:r>
      <w:proofErr w:type="spellEnd"/>
      <w:r w:rsidRPr="006A3098">
        <w:rPr>
          <w:rFonts w:ascii="Times New Roman" w:eastAsia="Calibri" w:hAnsi="Times New Roman" w:cs="Times New Roman"/>
          <w:b/>
          <w:bCs/>
          <w:sz w:val="24"/>
          <w:szCs w:val="24"/>
        </w:rPr>
        <w:t xml:space="preserve"> </w:t>
      </w:r>
      <w:proofErr w:type="spellStart"/>
      <w:r w:rsidRPr="006A3098">
        <w:rPr>
          <w:rFonts w:ascii="Times New Roman" w:eastAsia="Calibri" w:hAnsi="Times New Roman" w:cs="Times New Roman"/>
          <w:b/>
          <w:bCs/>
          <w:sz w:val="24"/>
          <w:szCs w:val="24"/>
        </w:rPr>
        <w:t>Behavior</w:t>
      </w:r>
      <w:proofErr w:type="spellEnd"/>
      <w:r w:rsidRPr="006A3098">
        <w:rPr>
          <w:rFonts w:ascii="Times New Roman" w:eastAsia="Calibri" w:hAnsi="Times New Roman" w:cs="Times New Roman"/>
          <w:b/>
          <w:bCs/>
          <w:sz w:val="24"/>
          <w:szCs w:val="24"/>
        </w:rPr>
        <w:t xml:space="preserve"> </w:t>
      </w:r>
      <w:proofErr w:type="spellStart"/>
      <w:r w:rsidRPr="006A3098">
        <w:rPr>
          <w:rFonts w:ascii="Times New Roman" w:eastAsia="Calibri" w:hAnsi="Times New Roman" w:cs="Times New Roman"/>
          <w:b/>
          <w:bCs/>
          <w:sz w:val="24"/>
          <w:szCs w:val="24"/>
        </w:rPr>
        <w:t>Analysis</w:t>
      </w:r>
      <w:proofErr w:type="spellEnd"/>
      <w:r w:rsidRPr="006A3098">
        <w:rPr>
          <w:rFonts w:ascii="Times New Roman" w:eastAsia="Calibri" w:hAnsi="Times New Roman" w:cs="Times New Roman"/>
          <w:b/>
          <w:bCs/>
          <w:sz w:val="24"/>
          <w:szCs w:val="24"/>
        </w:rPr>
        <w:t xml:space="preserve"> ou Analyse Appliquée du Comportement)</w:t>
      </w:r>
      <w:r w:rsidRPr="006A3098">
        <w:rPr>
          <w:rFonts w:ascii="Times New Roman" w:eastAsia="Calibri" w:hAnsi="Times New Roman" w:cs="Times New Roman"/>
          <w:sz w:val="24"/>
          <w:szCs w:val="24"/>
        </w:rPr>
        <w:t>. Inspirée du béhaviorisme, l’approche A.B.A. part du présupposé que c’est l’analyse des conséquences du comportement qui permet de comprendre quel est le but de celui-ci. Lorsque les réponses sont appropriées, elles sont renforcées par un objet, un aliment ou une attitude agréable pour l’enfant (jouet, bonbon, bravo...) pour tendre petit à petit vers un plaisir intrinsèque. »</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fficinaSans-Book">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50"/>
    <w:rsid w:val="006A3098"/>
    <w:rsid w:val="00A06450"/>
    <w:rsid w:val="00A724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44C1-29F8-4068-B6D8-739E7A6B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2035</Characters>
  <Application>Microsoft Office Word</Application>
  <DocSecurity>0</DocSecurity>
  <Lines>16</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2023-12-12T12:33:00Z</dcterms:created>
  <dcterms:modified xsi:type="dcterms:W3CDTF">2023-12-12T12:34:00Z</dcterms:modified>
</cp:coreProperties>
</file>